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7A82C" w14:textId="626210BC" w:rsidR="009F0D27" w:rsidRPr="00CE0424" w:rsidRDefault="009F0D27" w:rsidP="009F0D27">
      <w:pPr>
        <w:pStyle w:val="3GPPHeader"/>
        <w:spacing w:after="60"/>
        <w:rPr>
          <w:sz w:val="32"/>
          <w:szCs w:val="32"/>
          <w:highlight w:val="yellow"/>
        </w:rPr>
      </w:pPr>
      <w:bookmarkStart w:id="0" w:name="_Hlk524960236"/>
      <w:bookmarkStart w:id="1" w:name="_Hlk524960622"/>
      <w:r w:rsidRPr="00CE0424">
        <w:t>3GPP TSG-RAN WG</w:t>
      </w:r>
      <w:r>
        <w:t>1</w:t>
      </w:r>
      <w:r w:rsidRPr="00CE0424">
        <w:t xml:space="preserve"> </w:t>
      </w:r>
      <w:r>
        <w:t xml:space="preserve">Meeting </w:t>
      </w:r>
      <w:r w:rsidRPr="00CE0424">
        <w:t>#</w:t>
      </w:r>
      <w:r>
        <w:t>94bis</w:t>
      </w:r>
      <w:r w:rsidRPr="00CE0424">
        <w:tab/>
      </w:r>
      <w:r w:rsidRPr="00F42CAE">
        <w:rPr>
          <w:sz w:val="32"/>
          <w:szCs w:val="32"/>
        </w:rPr>
        <w:t xml:space="preserve"> </w:t>
      </w:r>
      <w:r w:rsidRPr="00741C00">
        <w:rPr>
          <w:sz w:val="32"/>
          <w:szCs w:val="32"/>
        </w:rPr>
        <w:t>R1-18</w:t>
      </w:r>
      <w:r w:rsidR="00741C00" w:rsidRPr="00741C00">
        <w:rPr>
          <w:sz w:val="32"/>
          <w:szCs w:val="32"/>
        </w:rPr>
        <w:t>11298</w:t>
      </w:r>
    </w:p>
    <w:p w14:paraId="0CCB6E70" w14:textId="77777777" w:rsidR="009F0D27" w:rsidRPr="005B5E25" w:rsidRDefault="009F0D27" w:rsidP="009F0D27">
      <w:pPr>
        <w:pStyle w:val="3GPPHeader"/>
      </w:pPr>
      <w:r>
        <w:t>Chengdu, China</w:t>
      </w:r>
      <w:r w:rsidRPr="005B5E25">
        <w:t xml:space="preserve">, </w:t>
      </w:r>
      <w:r>
        <w:t>8</w:t>
      </w:r>
      <w:r w:rsidRPr="004270B7">
        <w:rPr>
          <w:vertAlign w:val="superscript"/>
        </w:rPr>
        <w:t>th</w:t>
      </w:r>
      <w:r>
        <w:t xml:space="preserve"> – 12</w:t>
      </w:r>
      <w:r w:rsidRPr="004270B7">
        <w:rPr>
          <w:vertAlign w:val="superscript"/>
        </w:rPr>
        <w:t>th</w:t>
      </w:r>
      <w:r>
        <w:t xml:space="preserve"> October, </w:t>
      </w:r>
      <w:r w:rsidRPr="005B5E25">
        <w:t>2018</w:t>
      </w:r>
    </w:p>
    <w:bookmarkEnd w:id="0"/>
    <w:p w14:paraId="752B6174" w14:textId="77777777" w:rsidR="009F0D27" w:rsidRPr="009F0D27" w:rsidRDefault="009F0D27" w:rsidP="009F0D27">
      <w:pPr>
        <w:pStyle w:val="3GPPHeader"/>
        <w:overflowPunct/>
        <w:autoSpaceDE/>
        <w:autoSpaceDN/>
        <w:adjustRightInd/>
        <w:textAlignment w:val="auto"/>
        <w:rPr>
          <w:rFonts w:eastAsiaTheme="minorHAnsi"/>
          <w:lang w:val="en-US"/>
        </w:rPr>
      </w:pPr>
    </w:p>
    <w:p w14:paraId="7EEB5E57" w14:textId="6CD9A8BE" w:rsidR="00B048E3" w:rsidRPr="007D23AD" w:rsidRDefault="00B048E3" w:rsidP="00B048E3">
      <w:pPr>
        <w:pStyle w:val="3GPPHeader"/>
        <w:rPr>
          <w:sz w:val="22"/>
          <w:szCs w:val="22"/>
          <w:lang w:val="en-US"/>
        </w:rPr>
      </w:pPr>
      <w:r w:rsidRPr="007D23AD">
        <w:rPr>
          <w:sz w:val="22"/>
          <w:szCs w:val="22"/>
          <w:lang w:val="en-US"/>
        </w:rPr>
        <w:t>Agenda Item:</w:t>
      </w:r>
      <w:r w:rsidRPr="007D23AD">
        <w:rPr>
          <w:sz w:val="22"/>
          <w:szCs w:val="22"/>
          <w:lang w:val="en-US"/>
        </w:rPr>
        <w:tab/>
      </w:r>
      <w:r w:rsidR="00891D52" w:rsidRPr="007D23AD">
        <w:rPr>
          <w:sz w:val="22"/>
          <w:szCs w:val="22"/>
          <w:lang w:val="en-US"/>
        </w:rPr>
        <w:t>7.2.2.2</w:t>
      </w:r>
    </w:p>
    <w:p w14:paraId="268F38BA" w14:textId="77777777" w:rsidR="00B048E3" w:rsidRPr="00CE0424" w:rsidRDefault="00B048E3" w:rsidP="00B048E3">
      <w:pPr>
        <w:pStyle w:val="3GPPHeader"/>
        <w:rPr>
          <w:sz w:val="22"/>
          <w:szCs w:val="22"/>
        </w:rPr>
      </w:pPr>
      <w:r>
        <w:rPr>
          <w:sz w:val="22"/>
          <w:szCs w:val="22"/>
        </w:rPr>
        <w:t>Source:</w:t>
      </w:r>
      <w:r w:rsidRPr="00CE0424">
        <w:rPr>
          <w:sz w:val="22"/>
          <w:szCs w:val="22"/>
        </w:rPr>
        <w:tab/>
        <w:t>Ericsson</w:t>
      </w:r>
    </w:p>
    <w:p w14:paraId="2467EAC2" w14:textId="74FC8162" w:rsidR="00E90E49" w:rsidRPr="00CE0424" w:rsidRDefault="003D3C45" w:rsidP="00311702">
      <w:pPr>
        <w:pStyle w:val="3GPPHeader"/>
        <w:rPr>
          <w:sz w:val="22"/>
          <w:szCs w:val="22"/>
        </w:rPr>
      </w:pPr>
      <w:r>
        <w:rPr>
          <w:sz w:val="22"/>
          <w:szCs w:val="22"/>
        </w:rPr>
        <w:t>Title:</w:t>
      </w:r>
      <w:r w:rsidR="00E90E49" w:rsidRPr="00CE0424">
        <w:rPr>
          <w:sz w:val="22"/>
          <w:szCs w:val="22"/>
        </w:rPr>
        <w:tab/>
      </w:r>
      <w:r w:rsidR="00421245" w:rsidRPr="00421245">
        <w:rPr>
          <w:sz w:val="22"/>
          <w:szCs w:val="22"/>
        </w:rPr>
        <w:t>Frame structure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bookmarkEnd w:id="1"/>
    <w:p w14:paraId="37CFE3B4" w14:textId="0C85DD0A" w:rsidR="00E90E49" w:rsidRDefault="00230D18" w:rsidP="00CE0424">
      <w:pPr>
        <w:pStyle w:val="Heading1"/>
      </w:pPr>
      <w:r>
        <w:t>1</w:t>
      </w:r>
      <w:r>
        <w:tab/>
      </w:r>
      <w:r w:rsidR="00E90E49" w:rsidRPr="00CE0424">
        <w:t>Introduction</w:t>
      </w:r>
    </w:p>
    <w:p w14:paraId="5701D929" w14:textId="4633C5D6" w:rsidR="00891D52" w:rsidRPr="00891D52" w:rsidRDefault="00E745CA" w:rsidP="00891D52">
      <w:pPr>
        <w:rPr>
          <w:rFonts w:ascii="Arial" w:hAnsi="Arial" w:cs="Arial"/>
          <w:lang w:val="en-US"/>
        </w:rPr>
      </w:pPr>
      <w:r w:rsidRPr="00104DC8">
        <w:rPr>
          <w:rFonts w:ascii="Arial" w:hAnsi="Arial" w:cs="Arial"/>
          <w:lang w:val="en-US"/>
        </w:rPr>
        <w:t>In this contribution we provide our view on frame structure for NR-U</w:t>
      </w:r>
      <w:r w:rsidR="00665E53">
        <w:rPr>
          <w:rFonts w:ascii="Arial" w:hAnsi="Arial" w:cs="Arial"/>
          <w:lang w:val="en-US"/>
        </w:rPr>
        <w:t xml:space="preserve"> including </w:t>
      </w:r>
      <w:r w:rsidRPr="00104DC8">
        <w:rPr>
          <w:rFonts w:ascii="Arial" w:hAnsi="Arial" w:cs="Arial"/>
          <w:lang w:val="en-US"/>
        </w:rPr>
        <w:t xml:space="preserve">issues related to NR-U transmission granularity, </w:t>
      </w:r>
      <w:r w:rsidR="00891D52" w:rsidRPr="00104DC8">
        <w:rPr>
          <w:rFonts w:ascii="Arial" w:hAnsi="Arial" w:cs="Arial"/>
          <w:lang w:val="en-US"/>
        </w:rPr>
        <w:t>numerology,</w:t>
      </w:r>
      <w:r w:rsidR="006F1C0E" w:rsidRPr="00104DC8">
        <w:rPr>
          <w:rFonts w:ascii="Arial" w:hAnsi="Arial" w:cs="Arial"/>
          <w:lang w:val="en-US"/>
        </w:rPr>
        <w:t xml:space="preserve"> </w:t>
      </w:r>
      <w:r w:rsidR="00181AC7">
        <w:rPr>
          <w:rFonts w:ascii="Arial" w:hAnsi="Arial" w:cs="Arial"/>
          <w:lang w:val="en-US"/>
        </w:rPr>
        <w:t xml:space="preserve">and </w:t>
      </w:r>
      <w:r w:rsidRPr="00104DC8">
        <w:rPr>
          <w:rFonts w:ascii="Arial" w:hAnsi="Arial" w:cs="Arial"/>
          <w:lang w:val="en-US"/>
        </w:rPr>
        <w:t xml:space="preserve">wideband operation. </w:t>
      </w:r>
      <w:bookmarkStart w:id="2" w:name="_Toc513130363"/>
    </w:p>
    <w:p w14:paraId="1BF55564" w14:textId="18F1BB14" w:rsidR="00891D52" w:rsidRPr="00891D52" w:rsidRDefault="00891D52" w:rsidP="00891D52">
      <w:pPr>
        <w:pStyle w:val="Heading1"/>
      </w:pPr>
      <w:r>
        <w:t>2</w:t>
      </w:r>
      <w:r>
        <w:tab/>
      </w:r>
      <w:r w:rsidR="00E745CA" w:rsidRPr="00891D52">
        <w:t>NR-U transmission granularity</w:t>
      </w:r>
      <w:r w:rsidR="00E745CA" w:rsidRPr="00891D52" w:rsidDel="00E745CA">
        <w:t xml:space="preserve"> </w:t>
      </w:r>
      <w:bookmarkEnd w:id="2"/>
    </w:p>
    <w:p w14:paraId="7DF05C5F" w14:textId="573AD023" w:rsidR="00665E53" w:rsidRPr="00104DC8" w:rsidRDefault="00665E53" w:rsidP="00665E53">
      <w:pPr>
        <w:rPr>
          <w:rFonts w:cs="Arial"/>
        </w:rPr>
      </w:pPr>
      <w:r w:rsidRPr="00104DC8">
        <w:rPr>
          <w:rFonts w:ascii="Arial" w:hAnsi="Arial" w:cs="Arial"/>
        </w:rPr>
        <w:t xml:space="preserve">During RAN1#92bis, the following agreement </w:t>
      </w:r>
      <w:r>
        <w:rPr>
          <w:rFonts w:ascii="Arial" w:hAnsi="Arial" w:cs="Arial"/>
        </w:rPr>
        <w:t>was</w:t>
      </w:r>
      <w:r w:rsidRPr="00104DC8">
        <w:rPr>
          <w:rFonts w:ascii="Arial" w:hAnsi="Arial" w:cs="Arial"/>
        </w:rPr>
        <w:t xml:space="preserve"> made</w:t>
      </w:r>
      <w:r w:rsidR="001C0AA9">
        <w:rPr>
          <w:rFonts w:ascii="Arial" w:hAnsi="Arial" w:cs="Arial"/>
        </w:rPr>
        <w:t xml:space="preserve"> on Type-A and Type-B </w:t>
      </w:r>
      <w:proofErr w:type="spellStart"/>
      <w:r w:rsidR="001C0AA9">
        <w:rPr>
          <w:rFonts w:ascii="Arial" w:hAnsi="Arial" w:cs="Arial"/>
        </w:rPr>
        <w:t>PxSCH</w:t>
      </w:r>
      <w:proofErr w:type="spellEnd"/>
      <w:r w:rsidR="001C0AA9">
        <w:rPr>
          <w:rFonts w:ascii="Arial" w:hAnsi="Arial" w:cs="Arial"/>
        </w:rPr>
        <w:t xml:space="preserve"> mapping</w:t>
      </w:r>
      <w:r w:rsidRPr="00104DC8">
        <w:rPr>
          <w:rFonts w:ascii="Arial" w:hAnsi="Arial" w:cs="Arial"/>
        </w:rPr>
        <w:t xml:space="preserve">: </w:t>
      </w:r>
    </w:p>
    <w:p w14:paraId="0914AC9D" w14:textId="77777777" w:rsidR="00665E53" w:rsidRPr="00665E53" w:rsidRDefault="00665E53" w:rsidP="00665E53">
      <w:pPr>
        <w:spacing w:after="0"/>
        <w:rPr>
          <w:lang w:eastAsia="en-US"/>
        </w:rPr>
      </w:pPr>
      <w:r w:rsidRPr="00665E53">
        <w:rPr>
          <w:b/>
          <w:highlight w:val="green"/>
        </w:rPr>
        <w:t>Agreement</w:t>
      </w:r>
      <w:r w:rsidRPr="00665E53">
        <w:rPr>
          <w:highlight w:val="green"/>
        </w:rPr>
        <w:t>:</w:t>
      </w:r>
    </w:p>
    <w:p w14:paraId="792EBF80" w14:textId="77777777" w:rsidR="00665E53" w:rsidRPr="00665E53" w:rsidRDefault="00665E53" w:rsidP="00665E53">
      <w:pPr>
        <w:widowControl w:val="0"/>
        <w:numPr>
          <w:ilvl w:val="0"/>
          <w:numId w:val="29"/>
        </w:numPr>
        <w:overflowPunct/>
        <w:autoSpaceDE/>
        <w:autoSpaceDN/>
        <w:adjustRightInd/>
        <w:spacing w:after="0"/>
        <w:jc w:val="both"/>
        <w:textAlignment w:val="auto"/>
        <w:rPr>
          <w:i/>
          <w:lang w:val="en-US"/>
        </w:rPr>
      </w:pPr>
      <w:r w:rsidRPr="00665E53">
        <w:rPr>
          <w:i/>
          <w:lang w:val="en-US"/>
        </w:rPr>
        <w:t xml:space="preserve">NR-U supports both Type-A and Type-B mapping already supported in NR </w:t>
      </w:r>
    </w:p>
    <w:p w14:paraId="7762C7F2" w14:textId="6FDEE763"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highlight w:val="yellow"/>
          <w:lang w:val="en-US"/>
        </w:rPr>
        <w:t>FFS: Additional starting positions and durations are not precluded</w:t>
      </w:r>
    </w:p>
    <w:p w14:paraId="555FADAF" w14:textId="6DDC4181" w:rsidR="00665E53" w:rsidRPr="00665E53" w:rsidRDefault="00665E53" w:rsidP="00665E53">
      <w:pPr>
        <w:widowControl w:val="0"/>
        <w:numPr>
          <w:ilvl w:val="0"/>
          <w:numId w:val="29"/>
        </w:numPr>
        <w:overflowPunct/>
        <w:autoSpaceDE/>
        <w:autoSpaceDN/>
        <w:adjustRightInd/>
        <w:spacing w:after="0"/>
        <w:jc w:val="both"/>
        <w:textAlignment w:val="auto"/>
        <w:rPr>
          <w:lang w:val="en-US"/>
        </w:rPr>
      </w:pPr>
      <w:r w:rsidRPr="00665E53">
        <w:rPr>
          <w:lang w:val="en-US"/>
        </w:rPr>
        <w:t>…</w:t>
      </w:r>
    </w:p>
    <w:p w14:paraId="36FF2A0F" w14:textId="77777777" w:rsidR="00665E53" w:rsidRDefault="00665E53" w:rsidP="00104DC8">
      <w:pPr>
        <w:pStyle w:val="BodyText"/>
      </w:pPr>
    </w:p>
    <w:p w14:paraId="5889CAC7" w14:textId="56E6E745" w:rsidR="005F2550" w:rsidRDefault="003417B9" w:rsidP="00104DC8">
      <w:pPr>
        <w:pStyle w:val="BodyText"/>
      </w:pPr>
      <w:r>
        <w:t xml:space="preserve">In this section we address the FFS item. </w:t>
      </w:r>
      <w:r w:rsidR="00891D52">
        <w:t>I</w:t>
      </w:r>
      <w:r w:rsidR="005F2550">
        <w:t>n 3GPP NR Rel</w:t>
      </w:r>
      <w:r>
        <w:t>-</w:t>
      </w:r>
      <w:r w:rsidR="005F2550">
        <w:t>15 for licensed operation, downlink control information (DCI) is received over the physical layer downlink control channel (PDCCH). A PDCCH candidate is searched within a common or UE-specific search space which is mapped to a set of time and frequency resources referred to as a control resource set (CORESET). The search spaces within which PDCCH candidates must be monitored are configured to the UE via radio resource control (RRC) signalling. A monitoring periodicity is also configured for different PDCCH candidates. In any particular slot the UE may be configured to monitor multiple PDCCH candidates in multiple search spaces which may be mapped to one or more CORESETs. PDCCH candidates may need to be monitored multiple times in a slot, once every slot or once in multiple of slots. There are two kinds of transmission, i.e.</w:t>
      </w:r>
      <w:r w:rsidR="00C45A96">
        <w:t xml:space="preserve"> </w:t>
      </w:r>
      <w:r w:rsidR="006F1C0E">
        <w:t>Type</w:t>
      </w:r>
      <w:r w:rsidR="003B4DD8">
        <w:t xml:space="preserve"> </w:t>
      </w:r>
      <w:r w:rsidR="006F1C0E">
        <w:t xml:space="preserve">A </w:t>
      </w:r>
      <w:r w:rsidR="00C45A96">
        <w:t>(</w:t>
      </w:r>
      <w:r w:rsidR="005F2550">
        <w:t>slot-based</w:t>
      </w:r>
      <w:r w:rsidR="00C45A96">
        <w:t>)</w:t>
      </w:r>
      <w:r w:rsidR="005F2550">
        <w:t xml:space="preserve"> transmission and </w:t>
      </w:r>
      <w:r w:rsidR="00C45A96">
        <w:t xml:space="preserve">Type </w:t>
      </w:r>
      <w:r w:rsidR="006F1C0E">
        <w:t xml:space="preserve">B </w:t>
      </w:r>
      <w:r w:rsidR="00C45A96">
        <w:t>(</w:t>
      </w:r>
      <w:r w:rsidR="005F2550">
        <w:t>mini slot-based</w:t>
      </w:r>
      <w:r w:rsidR="00C45A96">
        <w:t>)</w:t>
      </w:r>
      <w:r w:rsidR="005F2550">
        <w:t xml:space="preserve"> transmission. </w:t>
      </w:r>
      <w:r w:rsidR="006F1C0E">
        <w:t xml:space="preserve">In DL, </w:t>
      </w:r>
      <w:r w:rsidR="009A3E1A">
        <w:t>Type B</w:t>
      </w:r>
      <w:r w:rsidR="00C45A96">
        <w:t xml:space="preserve"> </w:t>
      </w:r>
      <w:r w:rsidR="005F2550">
        <w:t xml:space="preserve">transmission could be started in any symbol with length of 2, 4 and 7 symbols. </w:t>
      </w:r>
      <w:r w:rsidR="006F1C0E">
        <w:t>In UL, Type B transmission could be started in any symbol with any length between {2 and 14} symbols.</w:t>
      </w:r>
    </w:p>
    <w:p w14:paraId="56CE92FA" w14:textId="1BC355C7" w:rsidR="00C45A96" w:rsidRDefault="00C45A96" w:rsidP="00664E50">
      <w:pPr>
        <w:pStyle w:val="Observation"/>
      </w:pPr>
      <w:bookmarkStart w:id="3" w:name="_Toc525912113"/>
      <w:r>
        <w:t xml:space="preserve">NR Rel15 supports DL </w:t>
      </w:r>
      <w:r w:rsidR="00CE1325">
        <w:t xml:space="preserve">and UL </w:t>
      </w:r>
      <w:r>
        <w:t>transmission starting in any symbol.</w:t>
      </w:r>
      <w:bookmarkEnd w:id="3"/>
      <w:r>
        <w:t xml:space="preserve">  </w:t>
      </w:r>
    </w:p>
    <w:p w14:paraId="2781A8EF" w14:textId="720B1761" w:rsidR="00C45A96" w:rsidRDefault="00664E50" w:rsidP="00664E50">
      <w:pPr>
        <w:pStyle w:val="Observation"/>
      </w:pPr>
      <w:bookmarkStart w:id="4" w:name="_Toc525912114"/>
      <w:r>
        <w:t>T</w:t>
      </w:r>
      <w:r w:rsidR="00C45A96">
        <w:t xml:space="preserve">he periodicity of the starting point is controlled by the CORESET and search space RRC configuration. The monitoring periodicity is decoupled from the supported Type </w:t>
      </w:r>
      <w:r w:rsidR="007D4358">
        <w:t>B</w:t>
      </w:r>
      <w:r w:rsidR="00C45A96">
        <w:t xml:space="preserve"> transmission duration</w:t>
      </w:r>
      <w:r w:rsidR="006F1C0E">
        <w:t>.</w:t>
      </w:r>
      <w:bookmarkEnd w:id="4"/>
    </w:p>
    <w:p w14:paraId="577A13E9" w14:textId="5870CABB" w:rsidR="00C45A96" w:rsidRDefault="00C45A96" w:rsidP="00664E50">
      <w:pPr>
        <w:pStyle w:val="Proposal"/>
      </w:pPr>
      <w:bookmarkStart w:id="5" w:name="_Toc525913249"/>
      <w:r>
        <w:t>No additional DL or UL starting positions are needed for NR-U</w:t>
      </w:r>
      <w:bookmarkEnd w:id="5"/>
      <w:r>
        <w:t xml:space="preserve">  </w:t>
      </w:r>
    </w:p>
    <w:p w14:paraId="52B1139B" w14:textId="3BF3FA67" w:rsidR="00DB72AF" w:rsidRDefault="00446710" w:rsidP="00DB72AF">
      <w:pPr>
        <w:pStyle w:val="Heading1"/>
      </w:pPr>
      <w:r>
        <w:t>3</w:t>
      </w:r>
      <w:r>
        <w:tab/>
      </w:r>
      <w:r w:rsidR="00DB72AF">
        <w:t>Numerology for NR-U</w:t>
      </w:r>
    </w:p>
    <w:p w14:paraId="37C71F19" w14:textId="4075DF02" w:rsidR="00665E53" w:rsidRDefault="00665E53" w:rsidP="00665E53">
      <w:pPr>
        <w:rPr>
          <w:rFonts w:ascii="Arial" w:hAnsi="Arial" w:cs="Arial"/>
        </w:rPr>
      </w:pPr>
      <w:r w:rsidRPr="00104DC8">
        <w:rPr>
          <w:rFonts w:ascii="Arial" w:hAnsi="Arial" w:cs="Arial"/>
        </w:rPr>
        <w:t xml:space="preserve">During RAN1#92bis, the following agreement </w:t>
      </w:r>
      <w:r>
        <w:rPr>
          <w:rFonts w:ascii="Arial" w:hAnsi="Arial" w:cs="Arial"/>
        </w:rPr>
        <w:t>was</w:t>
      </w:r>
      <w:r w:rsidRPr="00104DC8">
        <w:rPr>
          <w:rFonts w:ascii="Arial" w:hAnsi="Arial" w:cs="Arial"/>
        </w:rPr>
        <w:t xml:space="preserve"> made</w:t>
      </w:r>
      <w:r w:rsidR="001C0AA9">
        <w:rPr>
          <w:rFonts w:ascii="Arial" w:hAnsi="Arial" w:cs="Arial"/>
        </w:rPr>
        <w:t xml:space="preserve"> on numerology</w:t>
      </w:r>
      <w:r w:rsidRPr="00104DC8">
        <w:rPr>
          <w:rFonts w:ascii="Arial" w:hAnsi="Arial" w:cs="Arial"/>
        </w:rPr>
        <w:t xml:space="preserve">: </w:t>
      </w:r>
    </w:p>
    <w:p w14:paraId="1CA69DAC" w14:textId="77777777" w:rsidR="00665E53" w:rsidRPr="00665E53" w:rsidRDefault="00665E53" w:rsidP="00665E53">
      <w:pPr>
        <w:spacing w:after="0"/>
        <w:rPr>
          <w:lang w:eastAsia="en-US"/>
        </w:rPr>
      </w:pPr>
      <w:r w:rsidRPr="00665E53">
        <w:rPr>
          <w:b/>
          <w:highlight w:val="green"/>
        </w:rPr>
        <w:t>Agreement</w:t>
      </w:r>
      <w:r w:rsidRPr="00665E53">
        <w:rPr>
          <w:highlight w:val="green"/>
        </w:rPr>
        <w:t>:</w:t>
      </w:r>
    </w:p>
    <w:p w14:paraId="3BD3C436" w14:textId="3E741321" w:rsidR="00665E53" w:rsidRPr="00665E53" w:rsidRDefault="00665E53" w:rsidP="00665E53">
      <w:pPr>
        <w:widowControl w:val="0"/>
        <w:numPr>
          <w:ilvl w:val="0"/>
          <w:numId w:val="29"/>
        </w:numPr>
        <w:overflowPunct/>
        <w:autoSpaceDE/>
        <w:autoSpaceDN/>
        <w:adjustRightInd/>
        <w:spacing w:after="0"/>
        <w:jc w:val="both"/>
        <w:textAlignment w:val="auto"/>
        <w:rPr>
          <w:lang w:val="en-US"/>
        </w:rPr>
      </w:pPr>
      <w:r w:rsidRPr="00665E53">
        <w:rPr>
          <w:lang w:val="en-US"/>
        </w:rPr>
        <w:t>…</w:t>
      </w:r>
    </w:p>
    <w:p w14:paraId="7A81FCD9" w14:textId="328BE4C2" w:rsidR="00665E53" w:rsidRPr="00665E53" w:rsidRDefault="00665E53" w:rsidP="00665E53">
      <w:pPr>
        <w:widowControl w:val="0"/>
        <w:numPr>
          <w:ilvl w:val="0"/>
          <w:numId w:val="29"/>
        </w:numPr>
        <w:overflowPunct/>
        <w:autoSpaceDE/>
        <w:autoSpaceDN/>
        <w:adjustRightInd/>
        <w:spacing w:after="0"/>
        <w:jc w:val="both"/>
        <w:textAlignment w:val="auto"/>
        <w:rPr>
          <w:i/>
          <w:lang w:val="en-US"/>
        </w:rPr>
      </w:pPr>
      <w:r w:rsidRPr="00665E53">
        <w:rPr>
          <w:i/>
          <w:lang w:val="en-US"/>
        </w:rPr>
        <w:t>For sub-7 GHz, NR-U study the SCSs, 15/30/60kHz</w:t>
      </w:r>
    </w:p>
    <w:p w14:paraId="67CE1048"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t>Study performance difference between different SCS</w:t>
      </w:r>
    </w:p>
    <w:p w14:paraId="6753994F"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lastRenderedPageBreak/>
        <w:t>Study if changes to UL design are needed to meet the PSD and OCB requirements</w:t>
      </w:r>
    </w:p>
    <w:p w14:paraId="0D2D4EE8"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t xml:space="preserve">Study if an SS block design/RMSI/OSI with 60kHz SCS is needed </w:t>
      </w:r>
    </w:p>
    <w:p w14:paraId="1E38E0A4"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t xml:space="preserve">Impact on MIB and SIB1 content </w:t>
      </w:r>
    </w:p>
    <w:p w14:paraId="070EBC90"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t>Need for use of ECP for 60kHz</w:t>
      </w:r>
    </w:p>
    <w:p w14:paraId="5B6490A4"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t>RACH design with 60KHz SCS in addition to options currently part of NR</w:t>
      </w:r>
    </w:p>
    <w:p w14:paraId="3C0DC37D"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t xml:space="preserve">Other considerations are not precluded. </w:t>
      </w:r>
    </w:p>
    <w:p w14:paraId="77115911" w14:textId="77777777" w:rsidR="00665E53" w:rsidRPr="00665E53" w:rsidRDefault="00665E53" w:rsidP="00665E53">
      <w:pPr>
        <w:widowControl w:val="0"/>
        <w:numPr>
          <w:ilvl w:val="1"/>
          <w:numId w:val="29"/>
        </w:numPr>
        <w:overflowPunct/>
        <w:autoSpaceDE/>
        <w:autoSpaceDN/>
        <w:adjustRightInd/>
        <w:spacing w:after="0"/>
        <w:jc w:val="both"/>
        <w:textAlignment w:val="auto"/>
        <w:rPr>
          <w:i/>
          <w:lang w:val="en-US"/>
        </w:rPr>
      </w:pPr>
      <w:r w:rsidRPr="00665E53">
        <w:rPr>
          <w:i/>
          <w:lang w:val="en-US"/>
        </w:rPr>
        <w:t>Impact on support of different BWs with different SCS</w:t>
      </w:r>
    </w:p>
    <w:p w14:paraId="6CC3E743" w14:textId="00D2E4BE" w:rsidR="00665E53" w:rsidRPr="00665E53" w:rsidRDefault="00665E53" w:rsidP="00665E53">
      <w:pPr>
        <w:widowControl w:val="0"/>
        <w:numPr>
          <w:ilvl w:val="0"/>
          <w:numId w:val="29"/>
        </w:numPr>
        <w:overflowPunct/>
        <w:autoSpaceDE/>
        <w:autoSpaceDN/>
        <w:adjustRightInd/>
        <w:spacing w:after="0"/>
        <w:jc w:val="both"/>
        <w:textAlignment w:val="auto"/>
        <w:rPr>
          <w:rFonts w:ascii="Arial" w:hAnsi="Arial" w:cs="Arial"/>
          <w:lang w:val="en-US"/>
        </w:rPr>
      </w:pPr>
      <w:r w:rsidRPr="00665E53">
        <w:rPr>
          <w:lang w:val="en-US"/>
        </w:rPr>
        <w:t>…</w:t>
      </w:r>
      <w:r w:rsidRPr="00665E53">
        <w:rPr>
          <w:rFonts w:ascii="Arial" w:hAnsi="Arial" w:cs="Arial"/>
          <w:lang w:val="en-US"/>
        </w:rPr>
        <w:tab/>
      </w:r>
      <w:r w:rsidRPr="00665E53">
        <w:rPr>
          <w:rFonts w:ascii="Arial" w:hAnsi="Arial" w:cs="Arial"/>
          <w:lang w:val="en-US"/>
        </w:rPr>
        <w:tab/>
      </w:r>
    </w:p>
    <w:p w14:paraId="525B5CED" w14:textId="77777777" w:rsidR="00665E53" w:rsidRPr="00104DC8" w:rsidRDefault="00665E53" w:rsidP="00665E53">
      <w:pPr>
        <w:rPr>
          <w:rFonts w:cs="Arial"/>
        </w:rPr>
      </w:pPr>
    </w:p>
    <w:p w14:paraId="5C8AB57D" w14:textId="42AB576D" w:rsidR="00665E53" w:rsidRDefault="00665E53" w:rsidP="00665E53">
      <w:pPr>
        <w:rPr>
          <w:rFonts w:ascii="Arial" w:hAnsi="Arial" w:cs="Arial"/>
          <w:lang w:val="en-US"/>
        </w:rPr>
      </w:pPr>
      <w:r>
        <w:rPr>
          <w:rFonts w:ascii="Arial" w:hAnsi="Arial" w:cs="Arial"/>
          <w:lang w:val="en-US"/>
        </w:rPr>
        <w:t xml:space="preserve">and later during RAN1#94, the following </w:t>
      </w:r>
      <w:r w:rsidR="001C0AA9">
        <w:rPr>
          <w:rFonts w:ascii="Arial" w:hAnsi="Arial" w:cs="Arial"/>
          <w:lang w:val="en-US"/>
        </w:rPr>
        <w:t xml:space="preserve">additional </w:t>
      </w:r>
      <w:r>
        <w:rPr>
          <w:rFonts w:ascii="Arial" w:hAnsi="Arial" w:cs="Arial"/>
          <w:lang w:val="en-US"/>
        </w:rPr>
        <w:t>agreement was made on numerology:</w:t>
      </w:r>
    </w:p>
    <w:p w14:paraId="50615978" w14:textId="77777777" w:rsidR="00665E53" w:rsidRPr="00181AC7" w:rsidRDefault="00665E53" w:rsidP="00665E53">
      <w:pPr>
        <w:overflowPunct/>
        <w:autoSpaceDE/>
        <w:autoSpaceDN/>
        <w:adjustRightInd/>
        <w:spacing w:after="0"/>
        <w:ind w:left="720" w:hanging="720"/>
        <w:textAlignment w:val="auto"/>
        <w:rPr>
          <w:rFonts w:ascii="Times" w:eastAsia="Batang" w:hAnsi="Times"/>
          <w:b/>
          <w:szCs w:val="24"/>
          <w:lang w:eastAsia="x-none"/>
        </w:rPr>
      </w:pPr>
      <w:r w:rsidRPr="00181AC7">
        <w:rPr>
          <w:rFonts w:ascii="Times" w:eastAsia="Batang" w:hAnsi="Times"/>
          <w:b/>
          <w:szCs w:val="24"/>
          <w:highlight w:val="green"/>
          <w:lang w:eastAsia="x-none"/>
        </w:rPr>
        <w:t>Agreement:</w:t>
      </w:r>
    </w:p>
    <w:p w14:paraId="41B2415C" w14:textId="77777777" w:rsidR="00665E53" w:rsidRPr="00181AC7" w:rsidRDefault="00665E53" w:rsidP="00665E53">
      <w:pPr>
        <w:numPr>
          <w:ilvl w:val="0"/>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6E824E6B"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implementation complexity (e.g., a single FFT, no switching gaps)</w:t>
      </w:r>
    </w:p>
    <w:p w14:paraId="18076392"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specification impact</w:t>
      </w:r>
    </w:p>
    <w:p w14:paraId="6E83A5E3"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No need for gaps for measurements on frequencies with a configured serving cell in unlicensed bands</w:t>
      </w:r>
    </w:p>
    <w:p w14:paraId="4B7FEB1A" w14:textId="77777777" w:rsidR="00665E53" w:rsidRPr="00181AC7" w:rsidRDefault="00665E53" w:rsidP="00665E53">
      <w:pPr>
        <w:numPr>
          <w:ilvl w:val="0"/>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 xml:space="preserve">It is identified that being able to operate all UL signal/channels with the same numerology for a carrier and at least for intra-band CA on serving cells on unlicensed bands has at least the following benefits </w:t>
      </w:r>
    </w:p>
    <w:p w14:paraId="056B252E"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implementation complexity (e.g., a single FFT, no switching gaps)</w:t>
      </w:r>
    </w:p>
    <w:p w14:paraId="7A7E1C4A"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Lower specification impact</w:t>
      </w:r>
    </w:p>
    <w:p w14:paraId="53104721"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Common interlace structure</w:t>
      </w:r>
    </w:p>
    <w:p w14:paraId="3285ADC2"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No need for gaps for transmission of SRS on a configured serving cell in unlicensed bands</w:t>
      </w:r>
    </w:p>
    <w:p w14:paraId="4D67AD1D" w14:textId="77777777" w:rsidR="00665E53" w:rsidRPr="00181AC7" w:rsidRDefault="00665E53" w:rsidP="00665E53">
      <w:pPr>
        <w:numPr>
          <w:ilvl w:val="1"/>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FFS: PRACH benefits</w:t>
      </w:r>
    </w:p>
    <w:p w14:paraId="1D690FDF" w14:textId="77777777" w:rsidR="00665E53" w:rsidRPr="00181AC7" w:rsidRDefault="00665E53" w:rsidP="00665E53">
      <w:pPr>
        <w:numPr>
          <w:ilvl w:val="0"/>
          <w:numId w:val="34"/>
        </w:numPr>
        <w:overflowPunct/>
        <w:autoSpaceDE/>
        <w:autoSpaceDN/>
        <w:adjustRightInd/>
        <w:spacing w:after="0"/>
        <w:textAlignment w:val="auto"/>
        <w:rPr>
          <w:rFonts w:ascii="Times" w:eastAsia="Batang" w:hAnsi="Times"/>
          <w:i/>
          <w:szCs w:val="24"/>
          <w:lang w:eastAsia="x-none"/>
        </w:rPr>
      </w:pPr>
      <w:r w:rsidRPr="00181AC7">
        <w:rPr>
          <w:rFonts w:ascii="Times" w:eastAsia="Batang" w:hAnsi="Times"/>
          <w:i/>
          <w:szCs w:val="24"/>
          <w:lang w:eastAsia="x-none"/>
        </w:rPr>
        <w:t>FFS: same numerology for DL and UL considering switching gap</w:t>
      </w:r>
    </w:p>
    <w:p w14:paraId="13DE91C4" w14:textId="39488E61" w:rsidR="00665E53" w:rsidRDefault="00665E53" w:rsidP="00665E53"/>
    <w:p w14:paraId="4DE8C383" w14:textId="68F6AE21" w:rsidR="0086686F" w:rsidRDefault="003417B9" w:rsidP="00E534EA">
      <w:pPr>
        <w:pStyle w:val="BodyText"/>
      </w:pPr>
      <w:r>
        <w:t xml:space="preserve">In this section we address the study items in the first agreement taking into account </w:t>
      </w:r>
      <w:r w:rsidR="00E534EA">
        <w:t>that it has been identified as being beneficial to operate with a single numerology for all signals/channels in a particular link direction (DL or UL) as in the 2</w:t>
      </w:r>
      <w:r w:rsidR="00E534EA" w:rsidRPr="00E534EA">
        <w:rPr>
          <w:vertAlign w:val="superscript"/>
        </w:rPr>
        <w:t>nd</w:t>
      </w:r>
      <w:r w:rsidR="00E534EA">
        <w:t xml:space="preserve"> agreement.</w:t>
      </w:r>
      <w:r w:rsidR="00295378">
        <w:t xml:space="preserve"> We argue that an attractive candidate for the single numerology is 30 kHz + NCP</w:t>
      </w:r>
      <w:r w:rsidR="0086686F">
        <w:t xml:space="preserve"> from both the standpoint of performance and the fact that this numerology is already supported in NR Rel-15. In contrast, adopting 60 kHz and potentially ECP requires quite a large number of specification changes while offering no significant performance benefits. In what follows, we discuss a number of aspects that are impacted by the choice of 30 kHz vs. 60 kHz.</w:t>
      </w:r>
    </w:p>
    <w:p w14:paraId="74C6702D" w14:textId="35413680" w:rsidR="0086686F" w:rsidRDefault="00EA3C24" w:rsidP="00F93311">
      <w:pPr>
        <w:pStyle w:val="Heading2"/>
      </w:pPr>
      <w:r>
        <w:t>3.1</w:t>
      </w:r>
      <w:r>
        <w:tab/>
      </w:r>
      <w:r w:rsidR="00D27714">
        <w:t>Blind Detection of Numerology</w:t>
      </w:r>
    </w:p>
    <w:p w14:paraId="4D8BC152" w14:textId="05F67E6F" w:rsidR="007F4B69" w:rsidRDefault="00F93311" w:rsidP="00891D52">
      <w:pPr>
        <w:pStyle w:val="BodyText"/>
      </w:pPr>
      <w:r>
        <w:t xml:space="preserve">Some companies suggest that both 30 kHz and 60 kHz designs for NR-U should be supported in specifications, and that the operator chooses which one to use based on the deployment scenario. This </w:t>
      </w:r>
      <w:r w:rsidR="007F4B69">
        <w:t>would mean</w:t>
      </w:r>
      <w:r>
        <w:t xml:space="preserve"> that for standalone </w:t>
      </w:r>
      <w:r w:rsidR="00B22567">
        <w:t>deployments</w:t>
      </w:r>
      <w:r>
        <w:t xml:space="preserve">, the operating band needs to be defined with both </w:t>
      </w:r>
      <w:r w:rsidR="00B22567">
        <w:t xml:space="preserve">numerologies as candidates. The consequence is that since the UE is not aware of what numerology is used for SS/PBCH blocks, it needs to blindly detect the presence of SS/PBCH for each numerology candidate. We note that there are </w:t>
      </w:r>
      <w:r w:rsidR="007F4B69">
        <w:t xml:space="preserve">actually </w:t>
      </w:r>
      <w:r w:rsidR="00B22567">
        <w:t>two components to numerology: (1) subcarrier spacing (30 vs. 60 kHz) and CP duration (NCP vs. ECP). In principle then, 3 candidates exist: 30 kHz + NCP, 60 kHz + NCP, and 60 kHz + ECP. Blind detection over this many candidates is unattractive from a UE complexity point of view, and for this reason, most NR operating bands (for licensed operation) are defined with a single numerology candidate. For full deployment flexibility</w:t>
      </w:r>
      <w:r w:rsidR="007F4B69">
        <w:t xml:space="preserve"> for NR-U</w:t>
      </w:r>
      <w:r w:rsidR="00B22567">
        <w:t>, including outdoor scenarios</w:t>
      </w:r>
      <w:r w:rsidR="007F4B69">
        <w:t xml:space="preserve"> where delay spread can be significant</w:t>
      </w:r>
      <w:r w:rsidR="00B22567">
        <w:t xml:space="preserve">, </w:t>
      </w:r>
      <w:r w:rsidR="007F4B69">
        <w:t xml:space="preserve">our view is that if only one candidate is allowed in a sub-7 GHz band, then it should be 30 kHz + NCP. This candidate is already supported in specifications today. The only other </w:t>
      </w:r>
      <w:r w:rsidR="00430D8F">
        <w:t>potential</w:t>
      </w:r>
      <w:r w:rsidR="007F4B69">
        <w:t xml:space="preserve"> candidate considering all deployment scenarios is 60 kHz + ECP, and significant specification changes would be needed to support this.</w:t>
      </w:r>
    </w:p>
    <w:p w14:paraId="5C5D1056" w14:textId="379A6552" w:rsidR="00D25792" w:rsidRDefault="00D25792" w:rsidP="00D25792">
      <w:pPr>
        <w:pStyle w:val="Observation"/>
      </w:pPr>
      <w:bookmarkStart w:id="6" w:name="_Toc525912115"/>
      <w:r>
        <w:t xml:space="preserve">Support of a single numerology per band in order to avoid UE blind detection </w:t>
      </w:r>
      <w:r w:rsidR="001C7CFA">
        <w:t xml:space="preserve">in a stand-alone scenario </w:t>
      </w:r>
      <w:r>
        <w:t>implies that the numerology candidate (30 vs. 60 kHz SCS and NCP vs. ECP) needs to be chosen to maximize deployment flexibility.</w:t>
      </w:r>
      <w:bookmarkEnd w:id="6"/>
    </w:p>
    <w:p w14:paraId="61A75805" w14:textId="71390537" w:rsidR="00295378" w:rsidRDefault="00EA3C24" w:rsidP="00345AE8">
      <w:pPr>
        <w:pStyle w:val="Heading2"/>
      </w:pPr>
      <w:r>
        <w:t>3.2</w:t>
      </w:r>
      <w:r>
        <w:tab/>
      </w:r>
      <w:r w:rsidR="00295378">
        <w:t>Delay Spread and ECP</w:t>
      </w:r>
    </w:p>
    <w:p w14:paraId="27E52E2B" w14:textId="1B69C25B" w:rsidR="00863A07" w:rsidRDefault="007F4B69" w:rsidP="00891D52">
      <w:pPr>
        <w:pStyle w:val="BodyText"/>
      </w:pPr>
      <w:r>
        <w:t xml:space="preserve">As mentioned in the previous section, delay spreads in outdoor deployments are typically significantly larger than in indoor scenarios. This places a lower bound on the CP duration that should be selected for such </w:t>
      </w:r>
      <w:r>
        <w:lastRenderedPageBreak/>
        <w:t xml:space="preserve">deployments. For 30 kHz, the </w:t>
      </w:r>
      <w:r w:rsidR="00345AE8">
        <w:t>N</w:t>
      </w:r>
      <w:r>
        <w:t>CP duration is approximately 2.35 us; for 60 kHz it is 1.17 u</w:t>
      </w:r>
      <w:r w:rsidR="00345AE8">
        <w:t xml:space="preserve">s. </w:t>
      </w:r>
      <w:r w:rsidR="00863A07">
        <w:t>For the latter, this means that the maximum differential delay between a direct path and a reflected path should be less than 1.17 us in order to maintain good performance. The RMS delay spread should be even less to ensure that this constraint is fulfilled in an average sense.</w:t>
      </w:r>
    </w:p>
    <w:p w14:paraId="6CA8567F" w14:textId="42F1D6F3" w:rsidR="00430D8F" w:rsidRDefault="00345AE8" w:rsidP="00891D52">
      <w:pPr>
        <w:pStyle w:val="BodyText"/>
      </w:pPr>
      <w:r>
        <w:t xml:space="preserve">Based on field measurements </w:t>
      </w:r>
      <w:r w:rsidR="004A7240">
        <w:t xml:space="preserve">at 5 GHz </w:t>
      </w:r>
      <w:r w:rsidR="00243E7D">
        <w:fldChar w:fldCharType="begin"/>
      </w:r>
      <w:r w:rsidR="00243E7D">
        <w:instrText xml:space="preserve"> REF _Ref525732218 \r \h </w:instrText>
      </w:r>
      <w:r w:rsidR="00243E7D">
        <w:fldChar w:fldCharType="separate"/>
      </w:r>
      <w:r w:rsidR="00DA12B7">
        <w:t>[1]</w:t>
      </w:r>
      <w:r w:rsidR="00243E7D">
        <w:fldChar w:fldCharType="end"/>
      </w:r>
      <w:r w:rsidR="00243E7D">
        <w:t xml:space="preserve"> </w:t>
      </w:r>
      <w:r>
        <w:t>in</w:t>
      </w:r>
      <w:r w:rsidR="00863A07">
        <w:t xml:space="preserve"> </w:t>
      </w:r>
      <w:r>
        <w:t xml:space="preserve">which the gNB is placed on the rooftop of a </w:t>
      </w:r>
      <w:proofErr w:type="spellStart"/>
      <w:r>
        <w:t>lowrise</w:t>
      </w:r>
      <w:proofErr w:type="spellEnd"/>
      <w:r>
        <w:t xml:space="preserve"> building and the UE is at ground level </w:t>
      </w:r>
      <w:r w:rsidR="00863A07">
        <w:t xml:space="preserve">at varying distances of </w:t>
      </w:r>
      <w:r w:rsidR="004A7240">
        <w:t>90 – 200</w:t>
      </w:r>
      <w:r w:rsidR="00863A07">
        <w:t xml:space="preserve">m </w:t>
      </w:r>
      <w:r>
        <w:t xml:space="preserve">receiving reflections from nearby and distant buildings, </w:t>
      </w:r>
      <w:r w:rsidR="004A7240">
        <w:t>RMS delay spreads up to 0.7 us have been observed depending on the UE location. Such a deployment is conceivable, for example, in an outdoor mall or urban square type setting.</w:t>
      </w:r>
      <w:r w:rsidR="00243E7D">
        <w:t xml:space="preserve"> With this level of delay spread, it was observed that the instantaneous time delay easily exceeds the CP duration for 60 kHz SCS (1.17 us). In </w:t>
      </w:r>
      <w:r w:rsidR="00243E7D">
        <w:fldChar w:fldCharType="begin"/>
      </w:r>
      <w:r w:rsidR="00243E7D">
        <w:instrText xml:space="preserve"> REF _Ref525732218 \r \h </w:instrText>
      </w:r>
      <w:r w:rsidR="00243E7D">
        <w:fldChar w:fldCharType="separate"/>
      </w:r>
      <w:r w:rsidR="00DA12B7">
        <w:t>[1]</w:t>
      </w:r>
      <w:r w:rsidR="00243E7D">
        <w:fldChar w:fldCharType="end"/>
      </w:r>
      <w:r w:rsidR="00243E7D">
        <w:t xml:space="preserve">, it is shown that with this delay spread, the SINR (due to noise + ISI) drops to less than 15 dB, </w:t>
      </w:r>
      <w:r w:rsidR="00430D8F">
        <w:t>which</w:t>
      </w:r>
      <w:r w:rsidR="00243E7D">
        <w:t xml:space="preserve"> </w:t>
      </w:r>
      <w:r w:rsidR="00430D8F">
        <w:t xml:space="preserve">can </w:t>
      </w:r>
      <w:r w:rsidR="00243E7D">
        <w:t xml:space="preserve">severely limit peak rates. </w:t>
      </w:r>
      <w:r w:rsidR="00430D8F">
        <w:t>Simulated</w:t>
      </w:r>
      <w:r w:rsidR="00243E7D">
        <w:t xml:space="preserve"> </w:t>
      </w:r>
      <w:r w:rsidR="00430D8F">
        <w:t>link-</w:t>
      </w:r>
      <w:r w:rsidR="00243E7D">
        <w:t>level performance with delay spreads in the range of [</w:t>
      </w:r>
      <w:r w:rsidR="00430D8F">
        <w:t>100</w:t>
      </w:r>
      <w:r w:rsidR="00243E7D">
        <w:t xml:space="preserve">, 1000] ns has been evaluated </w:t>
      </w:r>
      <w:r w:rsidR="00430D8F">
        <w:t>based on the TDL-A channel</w:t>
      </w:r>
      <w:r w:rsidR="00A31151">
        <w:t xml:space="preserve"> </w:t>
      </w:r>
      <w:r w:rsidR="00A31151">
        <w:fldChar w:fldCharType="begin"/>
      </w:r>
      <w:r w:rsidR="00A31151">
        <w:instrText xml:space="preserve"> REF _Ref525734136 \r \h </w:instrText>
      </w:r>
      <w:r w:rsidR="00A31151">
        <w:fldChar w:fldCharType="separate"/>
      </w:r>
      <w:r w:rsidR="00DA12B7">
        <w:t>[2]</w:t>
      </w:r>
      <w:r w:rsidR="00A31151">
        <w:fldChar w:fldCharType="end"/>
      </w:r>
      <w:r w:rsidR="00430D8F">
        <w:t xml:space="preserve">. From </w:t>
      </w:r>
      <w:r w:rsidR="00EA3C24">
        <w:t>these</w:t>
      </w:r>
      <w:r w:rsidR="00430D8F">
        <w:t xml:space="preserve"> results one can see that above 500 ns, 60 kHz SCS becomes unusable due to excessive ISI, unless ECP is adopted to enhance robustness against channel dispersion.</w:t>
      </w:r>
      <w:r w:rsidR="00D25792">
        <w:t xml:space="preserve"> </w:t>
      </w:r>
      <w:r w:rsidR="00EA3C24">
        <w:t xml:space="preserve">However, based on the discussion in subsequent sections, adoption of ECP requires significant specification changes, and is thus not a preferred candidate. </w:t>
      </w:r>
      <w:r w:rsidR="00430D8F">
        <w:t>Based on the measurements and simulations</w:t>
      </w:r>
      <w:r w:rsidR="00D25792">
        <w:t xml:space="preserve"> </w:t>
      </w:r>
      <w:r w:rsidR="00EA3C24">
        <w:t xml:space="preserve">referenced here, </w:t>
      </w:r>
      <w:r w:rsidR="00D25792">
        <w:t>we observe the following:</w:t>
      </w:r>
    </w:p>
    <w:p w14:paraId="5EE7002F" w14:textId="79F21E17" w:rsidR="00D25792" w:rsidRDefault="00D25792" w:rsidP="00D25792">
      <w:pPr>
        <w:pStyle w:val="Observation"/>
      </w:pPr>
      <w:bookmarkStart w:id="7" w:name="_Toc525912116"/>
      <w:r>
        <w:t>30 kHz + NCP offers greater deployment flexibility than 60 kHz + NCP.</w:t>
      </w:r>
      <w:bookmarkEnd w:id="7"/>
    </w:p>
    <w:p w14:paraId="37630187" w14:textId="17EE0DAA" w:rsidR="00430D8F" w:rsidRDefault="00430D8F" w:rsidP="00D25792">
      <w:pPr>
        <w:pStyle w:val="Observation"/>
      </w:pPr>
      <w:bookmarkStart w:id="8" w:name="_Toc525912117"/>
      <w:r>
        <w:t>60 kHz + NCP breaks down for RMS delay spreads larger than 500 ns unless ECP is used to improve robustness against channel dispersion</w:t>
      </w:r>
      <w:r w:rsidR="00D25792">
        <w:t>.</w:t>
      </w:r>
      <w:bookmarkEnd w:id="8"/>
    </w:p>
    <w:p w14:paraId="51E93EAE" w14:textId="2E3AF425" w:rsidR="00D27714" w:rsidRDefault="00EA3C24" w:rsidP="00EA3C24">
      <w:pPr>
        <w:pStyle w:val="Heading2"/>
      </w:pPr>
      <w:r>
        <w:t>3.3</w:t>
      </w:r>
      <w:r>
        <w:tab/>
      </w:r>
      <w:r w:rsidR="00243E7D">
        <w:t>C</w:t>
      </w:r>
      <w:r w:rsidR="00D27714">
        <w:t>hannel Access Granularity</w:t>
      </w:r>
    </w:p>
    <w:p w14:paraId="6A0F2B0E" w14:textId="73203FA0" w:rsidR="003E3610" w:rsidRDefault="00EA3C24" w:rsidP="003E3610">
      <w:pPr>
        <w:pStyle w:val="BodyText"/>
      </w:pPr>
      <w:r w:rsidRPr="00D76F62">
        <w:t>The transmission granularity can be increased, and latency can be reduced</w:t>
      </w:r>
      <w:r w:rsidR="007A3F5E">
        <w:t>,</w:t>
      </w:r>
      <w:r w:rsidRPr="00D76F62">
        <w:t xml:space="preserve"> if </w:t>
      </w:r>
      <w:r>
        <w:t xml:space="preserve">either </w:t>
      </w:r>
      <w:r w:rsidRPr="00D76F62">
        <w:t xml:space="preserve">30 kHz </w:t>
      </w:r>
      <w:r>
        <w:t>or</w:t>
      </w:r>
      <w:r w:rsidRPr="00D76F62">
        <w:t xml:space="preserve"> 60 kHz subcarrier spacing </w:t>
      </w:r>
      <w:r>
        <w:t>is</w:t>
      </w:r>
      <w:r w:rsidRPr="00D76F62">
        <w:t xml:space="preserve"> used </w:t>
      </w:r>
      <w:r w:rsidR="003E3610">
        <w:t>for NR-U</w:t>
      </w:r>
      <w:r w:rsidR="007A3F5E">
        <w:t xml:space="preserve"> compared to the baseline of 15 kHz</w:t>
      </w:r>
      <w:r w:rsidRPr="00D76F62">
        <w:t xml:space="preserve">. While 60kHz </w:t>
      </w:r>
      <w:r w:rsidR="003E3610">
        <w:t xml:space="preserve">potentially </w:t>
      </w:r>
      <w:r w:rsidRPr="00D76F62">
        <w:t>provide</w:t>
      </w:r>
      <w:r w:rsidR="003E3610">
        <w:t>s</w:t>
      </w:r>
      <w:r w:rsidRPr="00D76F62">
        <w:t xml:space="preserve"> better access granularity</w:t>
      </w:r>
      <w:r w:rsidR="003E3610">
        <w:t xml:space="preserve"> for Type A PDSCH/PUSCH mapping</w:t>
      </w:r>
      <w:r w:rsidRPr="00D76F62">
        <w:t xml:space="preserve">, this is counteracted by the fact that the spectrum utilization in case of 20MHz using 60kHz SCS is lower than 30kHz due to larger guard bands. </w:t>
      </w:r>
      <w:r w:rsidR="003E3610">
        <w:t>Moreover, the use of Type B PDSCH/PUSCH mapping (mini-slots) for 30 kHz offers very high granularity already.</w:t>
      </w:r>
    </w:p>
    <w:p w14:paraId="336B7BC4" w14:textId="7E7AD16F" w:rsidR="003E3610" w:rsidRDefault="007A3F5E" w:rsidP="003E3610">
      <w:pPr>
        <w:pStyle w:val="BodyText"/>
        <w:rPr>
          <w:lang w:val="en-US"/>
        </w:rPr>
      </w:pPr>
      <w:r>
        <w:rPr>
          <w:lang w:val="en-US"/>
        </w:rPr>
        <w:t>H</w:t>
      </w:r>
      <w:r w:rsidR="003E3610" w:rsidRPr="00A029A9">
        <w:rPr>
          <w:lang w:val="en-US"/>
        </w:rPr>
        <w:t xml:space="preserve">ere, we evaluate </w:t>
      </w:r>
      <w:r w:rsidR="003E3610">
        <w:rPr>
          <w:lang w:val="en-US"/>
        </w:rPr>
        <w:t>the performance difference between 15,</w:t>
      </w:r>
      <w:r>
        <w:rPr>
          <w:lang w:val="en-US"/>
        </w:rPr>
        <w:t xml:space="preserve"> </w:t>
      </w:r>
      <w:r w:rsidR="003E3610">
        <w:rPr>
          <w:lang w:val="en-US"/>
        </w:rPr>
        <w:t>30, and 60</w:t>
      </w:r>
      <w:r>
        <w:rPr>
          <w:lang w:val="en-US"/>
        </w:rPr>
        <w:t xml:space="preserve"> kHz</w:t>
      </w:r>
      <w:r w:rsidR="003E3610">
        <w:rPr>
          <w:lang w:val="en-US"/>
        </w:rPr>
        <w:t xml:space="preserve"> in two scenarios</w:t>
      </w:r>
      <w:r>
        <w:rPr>
          <w:lang w:val="en-US"/>
        </w:rPr>
        <w:t xml:space="preserve"> both based on the indoor evaluation scenario agreed for NR-U evaluations:</w:t>
      </w:r>
    </w:p>
    <w:p w14:paraId="3D77CAAC" w14:textId="77777777" w:rsidR="003E3610" w:rsidRDefault="003E3610" w:rsidP="003E3610">
      <w:pPr>
        <w:pStyle w:val="BodyText"/>
        <w:numPr>
          <w:ilvl w:val="0"/>
          <w:numId w:val="31"/>
        </w:numPr>
        <w:rPr>
          <w:lang w:val="en-US"/>
        </w:rPr>
      </w:pPr>
      <w:r>
        <w:rPr>
          <w:lang w:val="en-US"/>
        </w:rPr>
        <w:t xml:space="preserve">Single NR-U operator </w:t>
      </w:r>
    </w:p>
    <w:p w14:paraId="37A6F25D" w14:textId="77777777" w:rsidR="003E3610" w:rsidRDefault="003E3610" w:rsidP="003E3610">
      <w:pPr>
        <w:pStyle w:val="BodyText"/>
        <w:numPr>
          <w:ilvl w:val="0"/>
          <w:numId w:val="31"/>
        </w:numPr>
        <w:rPr>
          <w:lang w:val="en-US"/>
        </w:rPr>
      </w:pPr>
      <w:r>
        <w:rPr>
          <w:lang w:val="en-US"/>
        </w:rPr>
        <w:t>NR-U operator coexisting with a Wi-Fi operator.</w:t>
      </w:r>
    </w:p>
    <w:p w14:paraId="1AACB760" w14:textId="61DB7295" w:rsidR="003E3610" w:rsidRDefault="007A3F5E" w:rsidP="003E3610">
      <w:pPr>
        <w:pStyle w:val="BodyText"/>
        <w:rPr>
          <w:lang w:val="en-US"/>
        </w:rPr>
      </w:pPr>
      <w:r>
        <w:t>Note that for the</w:t>
      </w:r>
      <w:r w:rsidR="003E3610">
        <w:rPr>
          <w:lang w:val="en-US"/>
        </w:rPr>
        <w:t xml:space="preserve"> the single operator case, it is assumed that one of the operator does not serve any traffic. For UL, self-scheduling is </w:t>
      </w:r>
      <w:r w:rsidR="001F1F89">
        <w:rPr>
          <w:lang w:val="en-US"/>
        </w:rPr>
        <w:t>assumed</w:t>
      </w:r>
      <w:r w:rsidR="003E3610">
        <w:rPr>
          <w:lang w:val="en-US"/>
        </w:rPr>
        <w:t>, i.e. the grant is also sent on the unlicensed carrier. It is also assumed that only slot</w:t>
      </w:r>
      <w:r w:rsidR="001F1F89">
        <w:rPr>
          <w:lang w:val="en-US"/>
        </w:rPr>
        <w:t>-based (Type A)</w:t>
      </w:r>
      <w:r w:rsidR="003E3610">
        <w:rPr>
          <w:lang w:val="en-US"/>
        </w:rPr>
        <w:t xml:space="preserve"> scheduling is used for the uplink. For DL, Type B scheduling starting at any symbol is enabled. We believe that the highest UL performance difference between different SCS can be observed in this case. Finally, UE capability #1 processing delays are modeled. In </w:t>
      </w:r>
      <w:r w:rsidR="002A1507">
        <w:rPr>
          <w:lang w:val="en-US"/>
        </w:rPr>
        <w:fldChar w:fldCharType="begin"/>
      </w:r>
      <w:r w:rsidR="002A1507">
        <w:rPr>
          <w:lang w:val="en-US"/>
        </w:rPr>
        <w:instrText xml:space="preserve"> REF _Ref525736261 \h </w:instrText>
      </w:r>
      <w:r w:rsidR="002A1507">
        <w:rPr>
          <w:lang w:val="en-US"/>
        </w:rPr>
      </w:r>
      <w:r w:rsidR="002A1507">
        <w:rPr>
          <w:lang w:val="en-US"/>
        </w:rPr>
        <w:fldChar w:fldCharType="separate"/>
      </w:r>
      <w:r w:rsidR="00DA12B7">
        <w:t xml:space="preserve">Figure </w:t>
      </w:r>
      <w:r w:rsidR="00DA12B7">
        <w:rPr>
          <w:noProof/>
        </w:rPr>
        <w:t>1</w:t>
      </w:r>
      <w:r w:rsidR="002A1507">
        <w:rPr>
          <w:lang w:val="en-US"/>
        </w:rPr>
        <w:fldChar w:fldCharType="end"/>
      </w:r>
      <w:r w:rsidR="002A1507">
        <w:rPr>
          <w:lang w:val="en-US"/>
        </w:rPr>
        <w:t xml:space="preserve"> and </w:t>
      </w:r>
      <w:r w:rsidR="002A1507">
        <w:rPr>
          <w:lang w:val="en-US"/>
        </w:rPr>
        <w:fldChar w:fldCharType="begin"/>
      </w:r>
      <w:r w:rsidR="002A1507">
        <w:rPr>
          <w:lang w:val="en-US"/>
        </w:rPr>
        <w:instrText xml:space="preserve"> REF _Ref525736266 \h </w:instrText>
      </w:r>
      <w:r w:rsidR="002A1507">
        <w:rPr>
          <w:lang w:val="en-US"/>
        </w:rPr>
      </w:r>
      <w:r w:rsidR="002A1507">
        <w:rPr>
          <w:lang w:val="en-US"/>
        </w:rPr>
        <w:fldChar w:fldCharType="separate"/>
      </w:r>
      <w:r w:rsidR="00DA12B7">
        <w:t xml:space="preserve">Figure </w:t>
      </w:r>
      <w:r w:rsidR="00DA12B7">
        <w:rPr>
          <w:noProof/>
        </w:rPr>
        <w:t>2</w:t>
      </w:r>
      <w:r w:rsidR="002A1507">
        <w:rPr>
          <w:lang w:val="en-US"/>
        </w:rPr>
        <w:fldChar w:fldCharType="end"/>
      </w:r>
      <w:r w:rsidR="002A1507">
        <w:rPr>
          <w:lang w:val="en-US"/>
        </w:rPr>
        <w:t xml:space="preserve">, </w:t>
      </w:r>
      <w:r w:rsidR="003E3610">
        <w:rPr>
          <w:lang w:val="en-US"/>
        </w:rPr>
        <w:t xml:space="preserve">we present the mean UL/DL object data rate per UE for </w:t>
      </w:r>
      <w:r w:rsidR="00010ABF">
        <w:rPr>
          <w:lang w:val="en-US"/>
        </w:rPr>
        <w:t>12</w:t>
      </w:r>
      <w:r w:rsidR="003E3610">
        <w:rPr>
          <w:lang w:val="en-US"/>
        </w:rPr>
        <w:t>,</w:t>
      </w:r>
      <w:r w:rsidR="001F1F89">
        <w:rPr>
          <w:lang w:val="en-US"/>
        </w:rPr>
        <w:t xml:space="preserve"> </w:t>
      </w:r>
      <w:r w:rsidR="00010ABF">
        <w:rPr>
          <w:lang w:val="en-US"/>
        </w:rPr>
        <w:t xml:space="preserve">35 </w:t>
      </w:r>
      <w:r w:rsidR="003E3610">
        <w:rPr>
          <w:lang w:val="en-US"/>
        </w:rPr>
        <w:t xml:space="preserve">and </w:t>
      </w:r>
      <w:r w:rsidR="00010ABF">
        <w:rPr>
          <w:lang w:val="en-US"/>
        </w:rPr>
        <w:t>55</w:t>
      </w:r>
      <w:r w:rsidR="003E3610">
        <w:rPr>
          <w:lang w:val="en-US"/>
        </w:rPr>
        <w:t xml:space="preserve">% buffer occupancy that represent low, medium and high load. </w:t>
      </w:r>
    </w:p>
    <w:p w14:paraId="6F038C54" w14:textId="0BA65DAD" w:rsidR="003E3610" w:rsidRDefault="001F1F89" w:rsidP="002A1507">
      <w:pPr>
        <w:pStyle w:val="BodyText"/>
        <w:keepNext/>
        <w:tabs>
          <w:tab w:val="center" w:pos="2160"/>
          <w:tab w:val="center" w:pos="7470"/>
        </w:tabs>
        <w:jc w:val="left"/>
      </w:pPr>
      <w:r>
        <w:lastRenderedPageBreak/>
        <w:tab/>
      </w:r>
      <w:r w:rsidR="00C935A0" w:rsidRPr="007D23AD">
        <w:rPr>
          <w:noProof/>
        </w:rPr>
        <w:drawing>
          <wp:inline distT="0" distB="0" distL="0" distR="0" wp14:anchorId="7B18D1B4" wp14:editId="0231CD45">
            <wp:extent cx="2963174" cy="218122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2683" t="4057" r="7157" b="7399"/>
                    <a:stretch/>
                  </pic:blipFill>
                  <pic:spPr bwMode="auto">
                    <a:xfrm>
                      <a:off x="0" y="0"/>
                      <a:ext cx="2973705" cy="2188977"/>
                    </a:xfrm>
                    <a:prstGeom prst="rect">
                      <a:avLst/>
                    </a:prstGeom>
                    <a:noFill/>
                    <a:ln>
                      <a:noFill/>
                    </a:ln>
                    <a:extLst>
                      <a:ext uri="{53640926-AAD7-44D8-BBD7-CCE9431645EC}">
                        <a14:shadowObscured xmlns:a14="http://schemas.microsoft.com/office/drawing/2010/main"/>
                      </a:ext>
                    </a:extLst>
                  </pic:spPr>
                </pic:pic>
              </a:graphicData>
            </a:graphic>
          </wp:inline>
        </w:drawing>
      </w:r>
      <w:r w:rsidR="007D23AD" w:rsidRPr="007D23AD">
        <w:rPr>
          <w:noProof/>
        </w:rPr>
        <w:drawing>
          <wp:inline distT="0" distB="0" distL="0" distR="0" wp14:anchorId="1B350989" wp14:editId="5DA2A276">
            <wp:extent cx="2861906"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4652" r="8229" b="7160"/>
                    <a:stretch/>
                  </pic:blipFill>
                  <pic:spPr bwMode="auto">
                    <a:xfrm>
                      <a:off x="0" y="0"/>
                      <a:ext cx="2880912" cy="2301181"/>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p>
    <w:p w14:paraId="18594AF9" w14:textId="1EE7BBB3" w:rsidR="001F1F89" w:rsidRDefault="001F1F89" w:rsidP="002A1507">
      <w:pPr>
        <w:pStyle w:val="BodyText"/>
        <w:keepNext/>
        <w:tabs>
          <w:tab w:val="center" w:pos="2160"/>
          <w:tab w:val="center" w:pos="7470"/>
        </w:tabs>
        <w:jc w:val="left"/>
      </w:pPr>
      <w:r>
        <w:tab/>
      </w:r>
      <w:r w:rsidRPr="001F1F89">
        <w:t>(a</w:t>
      </w:r>
      <w:r>
        <w:t>)</w:t>
      </w:r>
      <w:r>
        <w:tab/>
        <w:t>(b)</w:t>
      </w:r>
    </w:p>
    <w:p w14:paraId="762B6407" w14:textId="62759EBF" w:rsidR="003E3610" w:rsidRPr="00EE479F" w:rsidRDefault="003E3610" w:rsidP="003E3610">
      <w:pPr>
        <w:pStyle w:val="Caption"/>
        <w:jc w:val="center"/>
        <w:rPr>
          <w:rFonts w:ascii="Arial" w:hAnsi="Arial" w:cs="Arial"/>
          <w:noProof/>
          <w:lang w:eastAsia="zh-CN"/>
        </w:rPr>
      </w:pPr>
      <w:bookmarkStart w:id="9" w:name="_Ref525736261"/>
      <w:r w:rsidRPr="00EE479F">
        <w:rPr>
          <w:rFonts w:ascii="Arial" w:hAnsi="Arial" w:cs="Arial"/>
        </w:rPr>
        <w:t xml:space="preserve">Figure </w:t>
      </w:r>
      <w:r w:rsidRPr="00EE479F">
        <w:rPr>
          <w:rFonts w:ascii="Arial" w:hAnsi="Arial" w:cs="Arial"/>
          <w:noProof/>
        </w:rPr>
        <w:fldChar w:fldCharType="begin"/>
      </w:r>
      <w:r w:rsidRPr="00EE479F">
        <w:rPr>
          <w:rFonts w:ascii="Arial" w:hAnsi="Arial" w:cs="Arial"/>
          <w:noProof/>
        </w:rPr>
        <w:instrText xml:space="preserve"> SEQ Figure \* ARABIC </w:instrText>
      </w:r>
      <w:r w:rsidRPr="00EE479F">
        <w:rPr>
          <w:rFonts w:ascii="Arial" w:hAnsi="Arial" w:cs="Arial"/>
          <w:noProof/>
        </w:rPr>
        <w:fldChar w:fldCharType="separate"/>
      </w:r>
      <w:r w:rsidR="00DA12B7" w:rsidRPr="00EE479F">
        <w:rPr>
          <w:rFonts w:ascii="Arial" w:hAnsi="Arial" w:cs="Arial"/>
          <w:noProof/>
        </w:rPr>
        <w:t>1</w:t>
      </w:r>
      <w:r w:rsidRPr="00EE479F">
        <w:rPr>
          <w:rFonts w:ascii="Arial" w:hAnsi="Arial" w:cs="Arial"/>
          <w:noProof/>
        </w:rPr>
        <w:fldChar w:fldCharType="end"/>
      </w:r>
      <w:bookmarkEnd w:id="9"/>
      <w:r w:rsidRPr="00EE479F">
        <w:rPr>
          <w:rFonts w:ascii="Arial" w:hAnsi="Arial" w:cs="Arial"/>
          <w:lang w:val="en-US"/>
        </w:rPr>
        <w:t xml:space="preserve">: </w:t>
      </w:r>
      <w:r w:rsidR="002A1507" w:rsidRPr="00EE479F">
        <w:rPr>
          <w:rFonts w:ascii="Arial" w:hAnsi="Arial" w:cs="Arial"/>
          <w:lang w:val="en-US"/>
        </w:rPr>
        <w:t>P</w:t>
      </w:r>
      <w:r w:rsidRPr="00EE479F">
        <w:rPr>
          <w:rFonts w:ascii="Arial" w:hAnsi="Arial" w:cs="Arial"/>
          <w:lang w:val="en-US"/>
        </w:rPr>
        <w:t>erformance using different SCS in a single NR-U indoor network deployment</w:t>
      </w:r>
      <w:r w:rsidR="001F1F89" w:rsidRPr="00EE479F">
        <w:rPr>
          <w:rFonts w:ascii="Arial" w:hAnsi="Arial" w:cs="Arial"/>
          <w:lang w:val="en-US"/>
        </w:rPr>
        <w:t xml:space="preserve"> for (a) </w:t>
      </w:r>
      <w:r w:rsidR="00C935A0" w:rsidRPr="00EE479F">
        <w:rPr>
          <w:rFonts w:ascii="Arial" w:hAnsi="Arial" w:cs="Arial"/>
          <w:lang w:val="en-US"/>
        </w:rPr>
        <w:t>D</w:t>
      </w:r>
      <w:r w:rsidR="001F1F89" w:rsidRPr="00EE479F">
        <w:rPr>
          <w:rFonts w:ascii="Arial" w:hAnsi="Arial" w:cs="Arial"/>
          <w:lang w:val="en-US"/>
        </w:rPr>
        <w:t xml:space="preserve">L, and (b) </w:t>
      </w:r>
      <w:r w:rsidR="00C935A0" w:rsidRPr="00EE479F">
        <w:rPr>
          <w:rFonts w:ascii="Arial" w:hAnsi="Arial" w:cs="Arial"/>
          <w:lang w:val="en-US"/>
        </w:rPr>
        <w:t>U</w:t>
      </w:r>
      <w:r w:rsidR="001F1F89" w:rsidRPr="00EE479F">
        <w:rPr>
          <w:rFonts w:ascii="Arial" w:hAnsi="Arial" w:cs="Arial"/>
          <w:lang w:val="en-US"/>
        </w:rPr>
        <w:t>L.</w:t>
      </w:r>
    </w:p>
    <w:p w14:paraId="79A967EF" w14:textId="77777777" w:rsidR="003E3610" w:rsidRDefault="003E3610" w:rsidP="003E3610">
      <w:pPr>
        <w:pStyle w:val="BodyText"/>
        <w:rPr>
          <w:lang w:val="en-US"/>
        </w:rPr>
      </w:pPr>
    </w:p>
    <w:p w14:paraId="4195724F" w14:textId="1AA37403" w:rsidR="003E3610" w:rsidRDefault="00C935A0" w:rsidP="002A1507">
      <w:pPr>
        <w:pStyle w:val="BodyText"/>
        <w:keepNext/>
        <w:tabs>
          <w:tab w:val="center" w:pos="2160"/>
          <w:tab w:val="center" w:pos="7470"/>
        </w:tabs>
        <w:jc w:val="left"/>
      </w:pPr>
      <w:r w:rsidRPr="007D23AD">
        <w:rPr>
          <w:noProof/>
        </w:rPr>
        <w:drawing>
          <wp:inline distT="0" distB="0" distL="0" distR="0" wp14:anchorId="19CB85DF" wp14:editId="2FDB6F7D">
            <wp:extent cx="2976926" cy="2305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3422" r="6981" b="7443"/>
                    <a:stretch/>
                  </pic:blipFill>
                  <pic:spPr bwMode="auto">
                    <a:xfrm>
                      <a:off x="0" y="0"/>
                      <a:ext cx="2990054" cy="2315215"/>
                    </a:xfrm>
                    <a:prstGeom prst="rect">
                      <a:avLst/>
                    </a:prstGeom>
                    <a:noFill/>
                    <a:ln>
                      <a:noFill/>
                    </a:ln>
                    <a:extLst>
                      <a:ext uri="{53640926-AAD7-44D8-BBD7-CCE9431645EC}">
                        <a14:shadowObscured xmlns:a14="http://schemas.microsoft.com/office/drawing/2010/main"/>
                      </a:ext>
                    </a:extLst>
                  </pic:spPr>
                </pic:pic>
              </a:graphicData>
            </a:graphic>
          </wp:inline>
        </w:drawing>
      </w:r>
      <w:r w:rsidR="007D23AD" w:rsidRPr="007D23AD">
        <w:rPr>
          <w:noProof/>
        </w:rPr>
        <w:drawing>
          <wp:inline distT="0" distB="0" distL="0" distR="0" wp14:anchorId="65E55498" wp14:editId="72326F0E">
            <wp:extent cx="2909459" cy="230505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4830" r="7333" b="7160"/>
                    <a:stretch/>
                  </pic:blipFill>
                  <pic:spPr bwMode="auto">
                    <a:xfrm>
                      <a:off x="0" y="0"/>
                      <a:ext cx="2920568" cy="2313851"/>
                    </a:xfrm>
                    <a:prstGeom prst="rect">
                      <a:avLst/>
                    </a:prstGeom>
                    <a:noFill/>
                    <a:ln>
                      <a:noFill/>
                    </a:ln>
                    <a:extLst>
                      <a:ext uri="{53640926-AAD7-44D8-BBD7-CCE9431645EC}">
                        <a14:shadowObscured xmlns:a14="http://schemas.microsoft.com/office/drawing/2010/main"/>
                      </a:ext>
                    </a:extLst>
                  </pic:spPr>
                </pic:pic>
              </a:graphicData>
            </a:graphic>
          </wp:inline>
        </w:drawing>
      </w:r>
    </w:p>
    <w:p w14:paraId="60C1F792" w14:textId="03CA89A2" w:rsidR="002A1507" w:rsidRDefault="002A1507" w:rsidP="002A1507">
      <w:pPr>
        <w:pStyle w:val="BodyText"/>
        <w:keepNext/>
        <w:tabs>
          <w:tab w:val="center" w:pos="2160"/>
          <w:tab w:val="center" w:pos="7470"/>
        </w:tabs>
        <w:jc w:val="left"/>
      </w:pPr>
      <w:r w:rsidRPr="002A1507">
        <w:tab/>
        <w:t>(</w:t>
      </w:r>
      <w:r>
        <w:t>a)</w:t>
      </w:r>
      <w:r>
        <w:tab/>
        <w:t>(b)</w:t>
      </w:r>
    </w:p>
    <w:p w14:paraId="1D4F2435" w14:textId="15DEAA3E" w:rsidR="003E3610" w:rsidRPr="00EE479F" w:rsidRDefault="003E3610" w:rsidP="003E3610">
      <w:pPr>
        <w:pStyle w:val="Caption"/>
        <w:jc w:val="center"/>
        <w:rPr>
          <w:rFonts w:ascii="Arial" w:hAnsi="Arial" w:cs="Arial"/>
          <w:lang w:val="en-US"/>
        </w:rPr>
      </w:pPr>
      <w:bookmarkStart w:id="10" w:name="_Ref525736266"/>
      <w:r w:rsidRPr="00EE479F">
        <w:rPr>
          <w:rFonts w:ascii="Arial" w:hAnsi="Arial" w:cs="Arial"/>
        </w:rPr>
        <w:t xml:space="preserve">Figure </w:t>
      </w:r>
      <w:r w:rsidRPr="00EE479F">
        <w:rPr>
          <w:rFonts w:ascii="Arial" w:hAnsi="Arial" w:cs="Arial"/>
          <w:noProof/>
        </w:rPr>
        <w:fldChar w:fldCharType="begin"/>
      </w:r>
      <w:r w:rsidRPr="00EE479F">
        <w:rPr>
          <w:rFonts w:ascii="Arial" w:hAnsi="Arial" w:cs="Arial"/>
          <w:noProof/>
        </w:rPr>
        <w:instrText xml:space="preserve"> SEQ Figure \* ARABIC </w:instrText>
      </w:r>
      <w:r w:rsidRPr="00EE479F">
        <w:rPr>
          <w:rFonts w:ascii="Arial" w:hAnsi="Arial" w:cs="Arial"/>
          <w:noProof/>
        </w:rPr>
        <w:fldChar w:fldCharType="separate"/>
      </w:r>
      <w:r w:rsidR="00DA12B7" w:rsidRPr="00EE479F">
        <w:rPr>
          <w:rFonts w:ascii="Arial" w:hAnsi="Arial" w:cs="Arial"/>
          <w:noProof/>
        </w:rPr>
        <w:t>2</w:t>
      </w:r>
      <w:r w:rsidRPr="00EE479F">
        <w:rPr>
          <w:rFonts w:ascii="Arial" w:hAnsi="Arial" w:cs="Arial"/>
          <w:noProof/>
        </w:rPr>
        <w:fldChar w:fldCharType="end"/>
      </w:r>
      <w:bookmarkEnd w:id="10"/>
      <w:r w:rsidRPr="00EE479F">
        <w:rPr>
          <w:rFonts w:ascii="Arial" w:hAnsi="Arial" w:cs="Arial"/>
          <w:lang w:val="en-US"/>
        </w:rPr>
        <w:t xml:space="preserve">: </w:t>
      </w:r>
      <w:r w:rsidR="002A1507" w:rsidRPr="00EE479F">
        <w:rPr>
          <w:rFonts w:ascii="Arial" w:hAnsi="Arial" w:cs="Arial"/>
          <w:lang w:val="en-US"/>
        </w:rPr>
        <w:t>P</w:t>
      </w:r>
      <w:r w:rsidRPr="00EE479F">
        <w:rPr>
          <w:rFonts w:ascii="Arial" w:hAnsi="Arial" w:cs="Arial"/>
          <w:lang w:val="en-US"/>
        </w:rPr>
        <w:t>erformance using different SCS when NR-U coexist with another Wi-Fi network in an indoor deployment</w:t>
      </w:r>
      <w:r w:rsidR="002A1507" w:rsidRPr="00EE479F">
        <w:rPr>
          <w:rFonts w:ascii="Arial" w:hAnsi="Arial" w:cs="Arial"/>
          <w:lang w:val="en-US"/>
        </w:rPr>
        <w:t xml:space="preserve"> for (a) </w:t>
      </w:r>
      <w:r w:rsidR="00C935A0" w:rsidRPr="00EE479F">
        <w:rPr>
          <w:rFonts w:ascii="Arial" w:hAnsi="Arial" w:cs="Arial"/>
          <w:lang w:val="en-US"/>
        </w:rPr>
        <w:t>D</w:t>
      </w:r>
      <w:r w:rsidR="002A1507" w:rsidRPr="00EE479F">
        <w:rPr>
          <w:rFonts w:ascii="Arial" w:hAnsi="Arial" w:cs="Arial"/>
          <w:lang w:val="en-US"/>
        </w:rPr>
        <w:t xml:space="preserve">L, and (b) </w:t>
      </w:r>
      <w:r w:rsidR="00C935A0" w:rsidRPr="00EE479F">
        <w:rPr>
          <w:rFonts w:ascii="Arial" w:hAnsi="Arial" w:cs="Arial"/>
          <w:lang w:val="en-US"/>
        </w:rPr>
        <w:t>U</w:t>
      </w:r>
      <w:r w:rsidR="002A1507" w:rsidRPr="00EE479F">
        <w:rPr>
          <w:rFonts w:ascii="Arial" w:hAnsi="Arial" w:cs="Arial"/>
          <w:lang w:val="en-US"/>
        </w:rPr>
        <w:t>L</w:t>
      </w:r>
      <w:r w:rsidRPr="00EE479F">
        <w:rPr>
          <w:rFonts w:ascii="Arial" w:hAnsi="Arial" w:cs="Arial"/>
          <w:lang w:val="en-US"/>
        </w:rPr>
        <w:t>. Only the NR-U operator results are shown</w:t>
      </w:r>
    </w:p>
    <w:p w14:paraId="74747279" w14:textId="1E43AA44" w:rsidR="00312FD9" w:rsidRDefault="002A1507" w:rsidP="003E3610">
      <w:pPr>
        <w:pStyle w:val="BodyText"/>
        <w:rPr>
          <w:lang w:val="en-US"/>
        </w:rPr>
      </w:pPr>
      <w:r>
        <w:rPr>
          <w:lang w:val="en-US"/>
        </w:rPr>
        <w:t xml:space="preserve">For the </w:t>
      </w:r>
      <w:r w:rsidR="003E3610">
        <w:rPr>
          <w:lang w:val="en-US"/>
        </w:rPr>
        <w:t>DL</w:t>
      </w:r>
      <w:r w:rsidR="00312FD9">
        <w:rPr>
          <w:lang w:val="en-US"/>
        </w:rPr>
        <w:t>,</w:t>
      </w:r>
      <w:r w:rsidR="003E3610">
        <w:rPr>
          <w:lang w:val="en-US"/>
        </w:rPr>
        <w:t xml:space="preserve"> </w:t>
      </w:r>
      <w:r w:rsidR="00B72553">
        <w:rPr>
          <w:lang w:val="en-US"/>
        </w:rPr>
        <w:t xml:space="preserve">no </w:t>
      </w:r>
      <w:r w:rsidR="00F3014C">
        <w:rPr>
          <w:lang w:val="en-US"/>
        </w:rPr>
        <w:t>large</w:t>
      </w:r>
      <w:r>
        <w:rPr>
          <w:lang w:val="en-US"/>
        </w:rPr>
        <w:t xml:space="preserve"> differences in perform</w:t>
      </w:r>
      <w:r w:rsidR="00F3014C">
        <w:rPr>
          <w:lang w:val="en-US"/>
        </w:rPr>
        <w:t xml:space="preserve">ance between 15, 30, 60 kHz are </w:t>
      </w:r>
      <w:r w:rsidR="00312FD9">
        <w:rPr>
          <w:lang w:val="en-US"/>
        </w:rPr>
        <w:t>evident</w:t>
      </w:r>
      <w:r w:rsidR="00B72553">
        <w:rPr>
          <w:lang w:val="en-US"/>
        </w:rPr>
        <w:t>,</w:t>
      </w:r>
      <w:r w:rsidR="00F3014C">
        <w:rPr>
          <w:lang w:val="en-US"/>
        </w:rPr>
        <w:t xml:space="preserve"> </w:t>
      </w:r>
      <w:r w:rsidR="003E3610">
        <w:rPr>
          <w:lang w:val="en-US"/>
        </w:rPr>
        <w:t>which is expected since</w:t>
      </w:r>
      <w:r w:rsidR="00312FD9">
        <w:rPr>
          <w:lang w:val="en-US"/>
        </w:rPr>
        <w:t xml:space="preserve"> Type B PDSCH mapping is used with PDCCH monitoring every OFDM symbol. </w:t>
      </w:r>
      <w:r w:rsidR="003E3610">
        <w:rPr>
          <w:lang w:val="en-US"/>
        </w:rPr>
        <w:t xml:space="preserve">In fact, </w:t>
      </w:r>
      <w:r w:rsidR="00312FD9">
        <w:rPr>
          <w:lang w:val="en-US"/>
        </w:rPr>
        <w:t xml:space="preserve">as the SCS increases, the performance degrades </w:t>
      </w:r>
      <w:r w:rsidR="00C935A0">
        <w:rPr>
          <w:lang w:val="en-US"/>
        </w:rPr>
        <w:t xml:space="preserve">to some extent </w:t>
      </w:r>
      <w:r w:rsidR="003E3610">
        <w:rPr>
          <w:lang w:val="en-US"/>
        </w:rPr>
        <w:t xml:space="preserve">due to </w:t>
      </w:r>
      <w:r w:rsidR="00C935A0">
        <w:rPr>
          <w:lang w:val="en-US"/>
        </w:rPr>
        <w:t>larger</w:t>
      </w:r>
      <w:r w:rsidR="003E3610">
        <w:rPr>
          <w:lang w:val="en-US"/>
        </w:rPr>
        <w:t xml:space="preserve"> overhead and </w:t>
      </w:r>
      <w:r w:rsidR="00312FD9">
        <w:rPr>
          <w:lang w:val="en-US"/>
        </w:rPr>
        <w:t xml:space="preserve">larger </w:t>
      </w:r>
      <w:r w:rsidR="003E3610">
        <w:rPr>
          <w:lang w:val="en-US"/>
        </w:rPr>
        <w:t xml:space="preserve">guard bands. </w:t>
      </w:r>
      <w:r w:rsidR="00C935A0">
        <w:rPr>
          <w:lang w:val="en-US"/>
        </w:rPr>
        <w:t xml:space="preserve">For the UL on the other hand, </w:t>
      </w:r>
      <w:r w:rsidR="00312FD9">
        <w:rPr>
          <w:lang w:val="en-US"/>
        </w:rPr>
        <w:t>b</w:t>
      </w:r>
      <w:r w:rsidR="003E3610">
        <w:rPr>
          <w:lang w:val="en-US"/>
        </w:rPr>
        <w:t xml:space="preserve">oth scenarios (single NR-U operator or coexisting with Wi-Fi) show that </w:t>
      </w:r>
      <w:r w:rsidR="00C935A0">
        <w:rPr>
          <w:lang w:val="en-US"/>
        </w:rPr>
        <w:t xml:space="preserve">both </w:t>
      </w:r>
      <w:r w:rsidR="003E3610">
        <w:rPr>
          <w:lang w:val="en-US"/>
        </w:rPr>
        <w:t>30 and 60kHz perform better than 15kHz subcarrier spacing. However, minimal difference is observed between 30 and 60kHz subcarrier spacing due to the trade-off between channel access granularity and spectrum utilization. Most of the gain comes from increasing the SCS from 15 kHz to 30 kHz.</w:t>
      </w:r>
    </w:p>
    <w:p w14:paraId="096D7993" w14:textId="09447DF9" w:rsidR="00312FD9" w:rsidRDefault="00312FD9" w:rsidP="00312FD9">
      <w:pPr>
        <w:pStyle w:val="Observation"/>
        <w:rPr>
          <w:lang w:val="en-US"/>
        </w:rPr>
      </w:pPr>
      <w:bookmarkStart w:id="11" w:name="_Toc525912118"/>
      <w:r>
        <w:rPr>
          <w:lang w:val="en-US"/>
        </w:rPr>
        <w:t>The largest performance gain is achieve by increasing the SCS from 15 kHz to 30 kHz. Diminishing returns (or even declining returns in DL) are achieved by increasing further from 30 kHz to 60 kHz.</w:t>
      </w:r>
      <w:bookmarkEnd w:id="11"/>
      <w:r>
        <w:rPr>
          <w:lang w:val="en-US"/>
        </w:rPr>
        <w:t xml:space="preserve"> </w:t>
      </w:r>
    </w:p>
    <w:p w14:paraId="0158B0FD" w14:textId="32FEB615" w:rsidR="00890B40" w:rsidRDefault="00A979D6" w:rsidP="00A979D6">
      <w:pPr>
        <w:pStyle w:val="Heading2"/>
      </w:pPr>
      <w:r>
        <w:t>3.4</w:t>
      </w:r>
      <w:r>
        <w:tab/>
      </w:r>
      <w:r w:rsidR="00890B40">
        <w:t>Specification Impact</w:t>
      </w:r>
    </w:p>
    <w:p w14:paraId="6DAED44D" w14:textId="067FFC53" w:rsidR="003B0D43" w:rsidRDefault="00A979D6" w:rsidP="00891D52">
      <w:pPr>
        <w:pStyle w:val="BodyText"/>
      </w:pPr>
      <w:r>
        <w:t>As demonstrated above, 60 kHz does not offer an appreciable gain in performance compared to 30 kHz considering channel access granularity, and can lead to performance degradation in larger delay spread scenarios without ECP. In addition, 60 kHz</w:t>
      </w:r>
      <w:r w:rsidR="003B0D43">
        <w:t xml:space="preserve"> has significantly larger spec impact than 30 kHz as can be seen in the following table.</w:t>
      </w:r>
    </w:p>
    <w:p w14:paraId="188A35C8" w14:textId="684B3B63" w:rsidR="006D6E7D" w:rsidRPr="00EE479F" w:rsidRDefault="003B0D43" w:rsidP="003B0D43">
      <w:pPr>
        <w:pStyle w:val="Caption"/>
        <w:rPr>
          <w:rFonts w:ascii="Arial" w:hAnsi="Arial" w:cs="Arial"/>
        </w:rPr>
      </w:pPr>
      <w:r w:rsidRPr="00EE479F">
        <w:rPr>
          <w:rFonts w:ascii="Arial" w:hAnsi="Arial" w:cs="Arial"/>
        </w:rPr>
        <w:lastRenderedPageBreak/>
        <w:t xml:space="preserve">Table </w:t>
      </w:r>
      <w:r w:rsidR="002C644B" w:rsidRPr="00EE479F">
        <w:rPr>
          <w:rFonts w:ascii="Arial" w:hAnsi="Arial" w:cs="Arial"/>
          <w:noProof/>
        </w:rPr>
        <w:fldChar w:fldCharType="begin"/>
      </w:r>
      <w:r w:rsidR="002C644B" w:rsidRPr="00EE479F">
        <w:rPr>
          <w:rFonts w:ascii="Arial" w:hAnsi="Arial" w:cs="Arial"/>
          <w:noProof/>
        </w:rPr>
        <w:instrText xml:space="preserve"> SEQ Table \* ARABIC </w:instrText>
      </w:r>
      <w:r w:rsidR="002C644B" w:rsidRPr="00EE479F">
        <w:rPr>
          <w:rFonts w:ascii="Arial" w:hAnsi="Arial" w:cs="Arial"/>
          <w:noProof/>
        </w:rPr>
        <w:fldChar w:fldCharType="separate"/>
      </w:r>
      <w:r w:rsidR="00DA12B7" w:rsidRPr="00EE479F">
        <w:rPr>
          <w:rFonts w:ascii="Arial" w:hAnsi="Arial" w:cs="Arial"/>
          <w:noProof/>
        </w:rPr>
        <w:t>1</w:t>
      </w:r>
      <w:r w:rsidR="002C644B" w:rsidRPr="00EE479F">
        <w:rPr>
          <w:rFonts w:ascii="Arial" w:hAnsi="Arial" w:cs="Arial"/>
          <w:noProof/>
        </w:rPr>
        <w:fldChar w:fldCharType="end"/>
      </w:r>
      <w:r w:rsidRPr="00EE479F">
        <w:rPr>
          <w:rFonts w:ascii="Arial" w:hAnsi="Arial" w:cs="Arial"/>
        </w:rPr>
        <w:t xml:space="preserve">: Specification impact comparison of </w:t>
      </w:r>
      <w:r w:rsidR="00846520" w:rsidRPr="00EE479F">
        <w:rPr>
          <w:rFonts w:ascii="Arial" w:hAnsi="Arial" w:cs="Arial"/>
        </w:rPr>
        <w:t>15/</w:t>
      </w:r>
      <w:r w:rsidRPr="00EE479F">
        <w:rPr>
          <w:rFonts w:ascii="Arial" w:hAnsi="Arial" w:cs="Arial"/>
        </w:rPr>
        <w:t>30 kHz vs. 60 kHz SCS</w:t>
      </w:r>
    </w:p>
    <w:tbl>
      <w:tblPr>
        <w:tblStyle w:val="TableGrid"/>
        <w:tblW w:w="0" w:type="auto"/>
        <w:tblLook w:val="04A0" w:firstRow="1" w:lastRow="0" w:firstColumn="1" w:lastColumn="0" w:noHBand="0" w:noVBand="1"/>
      </w:tblPr>
      <w:tblGrid>
        <w:gridCol w:w="2065"/>
        <w:gridCol w:w="3330"/>
        <w:gridCol w:w="4234"/>
      </w:tblGrid>
      <w:tr w:rsidR="003B0D43" w14:paraId="2B99DF95" w14:textId="4AFAA86B" w:rsidTr="001A42EA">
        <w:tc>
          <w:tcPr>
            <w:tcW w:w="2065" w:type="dxa"/>
          </w:tcPr>
          <w:p w14:paraId="11F3303E" w14:textId="4D285EB9" w:rsidR="003B0D43" w:rsidRPr="000D773D" w:rsidRDefault="003B0D43" w:rsidP="003B0D43">
            <w:pPr>
              <w:pStyle w:val="BodyText"/>
              <w:jc w:val="center"/>
              <w:rPr>
                <w:b/>
                <w:sz w:val="20"/>
              </w:rPr>
            </w:pPr>
            <w:bookmarkStart w:id="12" w:name="_Hlk525830964"/>
            <w:r w:rsidRPr="000D773D">
              <w:rPr>
                <w:b/>
                <w:sz w:val="20"/>
              </w:rPr>
              <w:t>Item</w:t>
            </w:r>
          </w:p>
        </w:tc>
        <w:tc>
          <w:tcPr>
            <w:tcW w:w="3330" w:type="dxa"/>
          </w:tcPr>
          <w:p w14:paraId="398E853A" w14:textId="7614C222" w:rsidR="003B0D43" w:rsidRPr="000D773D" w:rsidRDefault="00846520" w:rsidP="003B0D43">
            <w:pPr>
              <w:pStyle w:val="BodyText"/>
              <w:jc w:val="center"/>
              <w:rPr>
                <w:b/>
                <w:sz w:val="20"/>
              </w:rPr>
            </w:pPr>
            <w:r>
              <w:rPr>
                <w:b/>
                <w:sz w:val="20"/>
              </w:rPr>
              <w:t>15/</w:t>
            </w:r>
            <w:r w:rsidR="003B0D43" w:rsidRPr="000D773D">
              <w:rPr>
                <w:b/>
                <w:sz w:val="20"/>
              </w:rPr>
              <w:t>30 kHz SCS</w:t>
            </w:r>
          </w:p>
        </w:tc>
        <w:tc>
          <w:tcPr>
            <w:tcW w:w="4234" w:type="dxa"/>
          </w:tcPr>
          <w:p w14:paraId="0D1BFC06" w14:textId="44F03A88" w:rsidR="003B0D43" w:rsidRPr="000D773D" w:rsidRDefault="003B0D43" w:rsidP="003B0D43">
            <w:pPr>
              <w:pStyle w:val="BodyText"/>
              <w:jc w:val="center"/>
              <w:rPr>
                <w:b/>
                <w:sz w:val="20"/>
              </w:rPr>
            </w:pPr>
            <w:r w:rsidRPr="000D773D">
              <w:rPr>
                <w:b/>
                <w:sz w:val="20"/>
              </w:rPr>
              <w:t>60 kHz SCS</w:t>
            </w:r>
          </w:p>
        </w:tc>
      </w:tr>
      <w:tr w:rsidR="003B0D43" w14:paraId="32A2E916" w14:textId="05A01BEB" w:rsidTr="001A42EA">
        <w:tc>
          <w:tcPr>
            <w:tcW w:w="2065" w:type="dxa"/>
          </w:tcPr>
          <w:p w14:paraId="492324FB" w14:textId="6CED1A71" w:rsidR="003B0D43" w:rsidRPr="000D773D" w:rsidRDefault="003B0D43" w:rsidP="00C25290">
            <w:pPr>
              <w:pStyle w:val="BodyText"/>
              <w:spacing w:after="0"/>
              <w:rPr>
                <w:sz w:val="20"/>
                <w:szCs w:val="16"/>
              </w:rPr>
            </w:pPr>
            <w:r w:rsidRPr="000D773D">
              <w:rPr>
                <w:sz w:val="20"/>
                <w:szCs w:val="16"/>
              </w:rPr>
              <w:t>UL Interlace Design</w:t>
            </w:r>
          </w:p>
        </w:tc>
        <w:tc>
          <w:tcPr>
            <w:tcW w:w="3330" w:type="dxa"/>
          </w:tcPr>
          <w:p w14:paraId="644E8075" w14:textId="37BDE22A" w:rsidR="003B0D43" w:rsidRPr="000D773D" w:rsidRDefault="00C25290" w:rsidP="00C25290">
            <w:pPr>
              <w:pStyle w:val="BodyText"/>
              <w:spacing w:after="0"/>
              <w:rPr>
                <w:sz w:val="20"/>
                <w:szCs w:val="16"/>
              </w:rPr>
            </w:pPr>
            <w:r w:rsidRPr="000D773D">
              <w:rPr>
                <w:sz w:val="20"/>
                <w:szCs w:val="16"/>
              </w:rPr>
              <w:t>PRB-based agreed</w:t>
            </w:r>
          </w:p>
        </w:tc>
        <w:tc>
          <w:tcPr>
            <w:tcW w:w="4234" w:type="dxa"/>
          </w:tcPr>
          <w:p w14:paraId="43C8358D" w14:textId="69288751" w:rsidR="00C25290" w:rsidRPr="00B949E1" w:rsidRDefault="003B0D43" w:rsidP="00C25290">
            <w:pPr>
              <w:pStyle w:val="BodyText"/>
              <w:spacing w:after="0"/>
              <w:rPr>
                <w:sz w:val="20"/>
                <w:szCs w:val="16"/>
                <w:lang w:val="en-US"/>
              </w:rPr>
            </w:pPr>
            <w:r w:rsidRPr="00B949E1">
              <w:rPr>
                <w:sz w:val="20"/>
                <w:szCs w:val="16"/>
                <w:lang w:val="en-US"/>
              </w:rPr>
              <w:t>May require sub-PRB interlacing to achieve power boosting gains</w:t>
            </w:r>
            <w:r w:rsidR="00C25290" w:rsidRPr="00B949E1">
              <w:rPr>
                <w:sz w:val="20"/>
                <w:szCs w:val="16"/>
                <w:lang w:val="en-US"/>
              </w:rPr>
              <w:t>. Sub-PRB operation has at least the following spec impact:</w:t>
            </w:r>
          </w:p>
          <w:p w14:paraId="457C236B" w14:textId="5E7A346B" w:rsidR="00C25290" w:rsidRPr="00B949E1" w:rsidRDefault="00C25290" w:rsidP="00C25290">
            <w:pPr>
              <w:pStyle w:val="BodyText"/>
              <w:numPr>
                <w:ilvl w:val="0"/>
                <w:numId w:val="42"/>
              </w:numPr>
              <w:spacing w:after="0"/>
              <w:rPr>
                <w:sz w:val="20"/>
                <w:szCs w:val="16"/>
                <w:lang w:val="en-US"/>
              </w:rPr>
            </w:pPr>
            <w:r w:rsidRPr="000D773D">
              <w:rPr>
                <w:sz w:val="20"/>
                <w:szCs w:val="16"/>
                <w:lang w:val="en-US" w:eastAsia="x-none"/>
              </w:rPr>
              <w:t>Reference signal design (e.g., DMRS, CSI-RS, SRS, etc.)</w:t>
            </w:r>
          </w:p>
          <w:p w14:paraId="31CD4111" w14:textId="2A45F36E" w:rsidR="00C25290" w:rsidRPr="000D773D" w:rsidRDefault="00C25290" w:rsidP="00C25290">
            <w:pPr>
              <w:pStyle w:val="BodyText"/>
              <w:numPr>
                <w:ilvl w:val="0"/>
                <w:numId w:val="42"/>
              </w:numPr>
              <w:spacing w:after="0"/>
              <w:rPr>
                <w:sz w:val="20"/>
                <w:szCs w:val="16"/>
              </w:rPr>
            </w:pPr>
            <w:r w:rsidRPr="000D773D">
              <w:rPr>
                <w:sz w:val="20"/>
                <w:szCs w:val="16"/>
                <w:lang w:val="en-US" w:eastAsia="x-none"/>
              </w:rPr>
              <w:t>Channel estimation aspects</w:t>
            </w:r>
          </w:p>
          <w:p w14:paraId="6A5BC083" w14:textId="4E01B017" w:rsidR="00C25290" w:rsidRPr="000D773D" w:rsidRDefault="00C25290" w:rsidP="00C25290">
            <w:pPr>
              <w:pStyle w:val="BodyText"/>
              <w:numPr>
                <w:ilvl w:val="0"/>
                <w:numId w:val="42"/>
              </w:numPr>
              <w:spacing w:after="0"/>
              <w:rPr>
                <w:sz w:val="20"/>
                <w:szCs w:val="16"/>
              </w:rPr>
            </w:pPr>
            <w:r w:rsidRPr="000D773D">
              <w:rPr>
                <w:sz w:val="20"/>
                <w:szCs w:val="16"/>
                <w:lang w:val="en-US" w:eastAsia="x-none"/>
              </w:rPr>
              <w:t>Resource allocation</w:t>
            </w:r>
          </w:p>
        </w:tc>
      </w:tr>
      <w:tr w:rsidR="003B0D43" w14:paraId="6B8C9991" w14:textId="5CF55FFE" w:rsidTr="001A42EA">
        <w:tc>
          <w:tcPr>
            <w:tcW w:w="2065" w:type="dxa"/>
          </w:tcPr>
          <w:p w14:paraId="2ED4D001" w14:textId="28265374" w:rsidR="003B0D43" w:rsidRPr="000D773D" w:rsidRDefault="003A4425" w:rsidP="00C25290">
            <w:pPr>
              <w:pStyle w:val="BodyText"/>
              <w:spacing w:after="0"/>
              <w:rPr>
                <w:sz w:val="20"/>
                <w:szCs w:val="16"/>
              </w:rPr>
            </w:pPr>
            <w:r w:rsidRPr="000D773D">
              <w:rPr>
                <w:sz w:val="20"/>
                <w:szCs w:val="16"/>
              </w:rPr>
              <w:t>NR-U DRS Design</w:t>
            </w:r>
          </w:p>
        </w:tc>
        <w:tc>
          <w:tcPr>
            <w:tcW w:w="3330" w:type="dxa"/>
          </w:tcPr>
          <w:p w14:paraId="6F843747" w14:textId="72256189" w:rsidR="003B0D43" w:rsidRPr="00B949E1" w:rsidRDefault="003A4425" w:rsidP="003017C9">
            <w:pPr>
              <w:pStyle w:val="BodyText"/>
              <w:numPr>
                <w:ilvl w:val="0"/>
                <w:numId w:val="47"/>
              </w:numPr>
              <w:spacing w:after="0"/>
              <w:rPr>
                <w:sz w:val="20"/>
                <w:szCs w:val="16"/>
                <w:lang w:val="en-US"/>
              </w:rPr>
            </w:pPr>
            <w:r w:rsidRPr="00B949E1">
              <w:rPr>
                <w:sz w:val="20"/>
                <w:szCs w:val="16"/>
                <w:lang w:val="en-US"/>
              </w:rPr>
              <w:t xml:space="preserve">SSB/PBCH </w:t>
            </w:r>
            <w:r w:rsidR="00846520">
              <w:rPr>
                <w:sz w:val="20"/>
                <w:szCs w:val="16"/>
                <w:lang w:val="en-US"/>
              </w:rPr>
              <w:t>design already supported</w:t>
            </w:r>
          </w:p>
          <w:p w14:paraId="70534CD7" w14:textId="4B4B8138" w:rsidR="00846520" w:rsidRDefault="00846520" w:rsidP="003017C9">
            <w:pPr>
              <w:pStyle w:val="BodyText"/>
              <w:numPr>
                <w:ilvl w:val="0"/>
                <w:numId w:val="47"/>
              </w:numPr>
              <w:spacing w:after="0"/>
              <w:rPr>
                <w:sz w:val="20"/>
                <w:szCs w:val="16"/>
                <w:lang w:val="en-US"/>
              </w:rPr>
            </w:pPr>
            <w:r>
              <w:rPr>
                <w:sz w:val="20"/>
                <w:szCs w:val="16"/>
                <w:lang w:val="en-US"/>
              </w:rPr>
              <w:t>FDM multiplexing of SIB1 and SS/PBCH blocks possible</w:t>
            </w:r>
          </w:p>
          <w:p w14:paraId="353C7621" w14:textId="2AA927C6" w:rsidR="003017C9" w:rsidRPr="00B949E1" w:rsidRDefault="003017C9" w:rsidP="00846520">
            <w:pPr>
              <w:pStyle w:val="BodyText"/>
              <w:spacing w:after="0"/>
              <w:ind w:left="360"/>
              <w:rPr>
                <w:sz w:val="20"/>
                <w:szCs w:val="16"/>
                <w:lang w:val="en-US"/>
              </w:rPr>
            </w:pPr>
          </w:p>
        </w:tc>
        <w:tc>
          <w:tcPr>
            <w:tcW w:w="4234" w:type="dxa"/>
          </w:tcPr>
          <w:p w14:paraId="203F036B" w14:textId="5986E535" w:rsidR="003A4425" w:rsidRPr="00B949E1" w:rsidRDefault="003A4425" w:rsidP="003A4425">
            <w:pPr>
              <w:pStyle w:val="BodyText"/>
              <w:numPr>
                <w:ilvl w:val="0"/>
                <w:numId w:val="45"/>
              </w:numPr>
              <w:spacing w:after="0"/>
              <w:rPr>
                <w:sz w:val="20"/>
                <w:szCs w:val="16"/>
                <w:lang w:val="en-US"/>
              </w:rPr>
            </w:pPr>
            <w:r w:rsidRPr="00B949E1">
              <w:rPr>
                <w:sz w:val="20"/>
                <w:szCs w:val="16"/>
                <w:lang w:val="en-US"/>
              </w:rPr>
              <w:t>SSB/PBCH block time domain pattern not supported in Rel-15</w:t>
            </w:r>
          </w:p>
          <w:p w14:paraId="57E07D4A" w14:textId="77777777" w:rsidR="003A4425" w:rsidRPr="00B949E1" w:rsidRDefault="003A4425" w:rsidP="003A4425">
            <w:pPr>
              <w:pStyle w:val="BodyText"/>
              <w:numPr>
                <w:ilvl w:val="0"/>
                <w:numId w:val="45"/>
              </w:numPr>
              <w:spacing w:after="0"/>
              <w:rPr>
                <w:sz w:val="20"/>
                <w:szCs w:val="16"/>
                <w:lang w:val="en-US"/>
              </w:rPr>
            </w:pPr>
            <w:r w:rsidRPr="00B949E1">
              <w:rPr>
                <w:sz w:val="20"/>
                <w:szCs w:val="16"/>
                <w:lang w:val="en-US"/>
              </w:rPr>
              <w:t>SSB/PBCH block – CORESET configuration tables (38.213, Section 13) not supported in Rel-15</w:t>
            </w:r>
          </w:p>
          <w:p w14:paraId="4C707D85" w14:textId="0427DE96" w:rsidR="003017C9" w:rsidRPr="00846520" w:rsidRDefault="00846520" w:rsidP="00846520">
            <w:pPr>
              <w:pStyle w:val="BodyText"/>
              <w:numPr>
                <w:ilvl w:val="0"/>
                <w:numId w:val="45"/>
              </w:numPr>
              <w:spacing w:after="0"/>
              <w:rPr>
                <w:sz w:val="20"/>
                <w:szCs w:val="16"/>
                <w:lang w:val="en-US"/>
              </w:rPr>
            </w:pPr>
            <w:r>
              <w:rPr>
                <w:sz w:val="20"/>
                <w:szCs w:val="16"/>
                <w:lang w:val="en-US"/>
              </w:rPr>
              <w:t xml:space="preserve">FDM multiplexing of SIB1 and SS/PBCH blocks not possible (initial BWP limited to 24 PRBs; </w:t>
            </w:r>
            <w:r w:rsidR="00AF5372">
              <w:rPr>
                <w:sz w:val="20"/>
                <w:szCs w:val="16"/>
                <w:lang w:val="en-US"/>
              </w:rPr>
              <w:t>SS/PBCH blocks bandwidth is 20 PRBs</w:t>
            </w:r>
            <w:r>
              <w:rPr>
                <w:sz w:val="20"/>
                <w:szCs w:val="16"/>
                <w:lang w:val="en-US"/>
              </w:rPr>
              <w:t>)</w:t>
            </w:r>
          </w:p>
        </w:tc>
      </w:tr>
      <w:tr w:rsidR="003B0D43" w14:paraId="72A9109C" w14:textId="128C46E3" w:rsidTr="001A42EA">
        <w:tc>
          <w:tcPr>
            <w:tcW w:w="2065" w:type="dxa"/>
          </w:tcPr>
          <w:p w14:paraId="0BEC37C1" w14:textId="10599359" w:rsidR="003B0D43" w:rsidRPr="000D773D" w:rsidRDefault="003A4425" w:rsidP="00C25290">
            <w:pPr>
              <w:pStyle w:val="BodyText"/>
              <w:spacing w:after="0"/>
              <w:rPr>
                <w:sz w:val="20"/>
                <w:szCs w:val="16"/>
              </w:rPr>
            </w:pPr>
            <w:r w:rsidRPr="000D773D">
              <w:rPr>
                <w:sz w:val="20"/>
                <w:szCs w:val="16"/>
              </w:rPr>
              <w:t>ECP Support</w:t>
            </w:r>
          </w:p>
        </w:tc>
        <w:tc>
          <w:tcPr>
            <w:tcW w:w="3330" w:type="dxa"/>
          </w:tcPr>
          <w:p w14:paraId="0023A622" w14:textId="3A3A098A" w:rsidR="003B0D43" w:rsidRPr="000D773D" w:rsidRDefault="003A4425" w:rsidP="00C25290">
            <w:pPr>
              <w:pStyle w:val="BodyText"/>
              <w:spacing w:after="0"/>
              <w:rPr>
                <w:sz w:val="20"/>
                <w:szCs w:val="16"/>
              </w:rPr>
            </w:pPr>
            <w:r w:rsidRPr="000D773D">
              <w:rPr>
                <w:sz w:val="20"/>
                <w:szCs w:val="16"/>
              </w:rPr>
              <w:t>Not needed</w:t>
            </w:r>
          </w:p>
        </w:tc>
        <w:tc>
          <w:tcPr>
            <w:tcW w:w="4234" w:type="dxa"/>
          </w:tcPr>
          <w:p w14:paraId="584ADB8F" w14:textId="77777777" w:rsidR="001A42EA" w:rsidRDefault="001A42EA" w:rsidP="001A42EA">
            <w:pPr>
              <w:pStyle w:val="BodyText"/>
              <w:numPr>
                <w:ilvl w:val="0"/>
                <w:numId w:val="48"/>
              </w:numPr>
              <w:spacing w:after="0"/>
              <w:rPr>
                <w:sz w:val="20"/>
                <w:szCs w:val="16"/>
                <w:lang w:val="en-US"/>
              </w:rPr>
            </w:pPr>
            <w:r w:rsidRPr="00B949E1">
              <w:rPr>
                <w:sz w:val="20"/>
                <w:szCs w:val="16"/>
                <w:lang w:val="en-US"/>
              </w:rPr>
              <w:t xml:space="preserve">SSB/PBCH block time domain patterns not supported for ECP in Rel-15 </w:t>
            </w:r>
          </w:p>
          <w:p w14:paraId="2A8837B3" w14:textId="4AD5D344" w:rsidR="003B0D43" w:rsidRPr="00B949E1" w:rsidRDefault="001A42EA" w:rsidP="001A42EA">
            <w:pPr>
              <w:pStyle w:val="BodyText"/>
              <w:numPr>
                <w:ilvl w:val="0"/>
                <w:numId w:val="48"/>
              </w:numPr>
              <w:spacing w:after="0"/>
              <w:rPr>
                <w:sz w:val="20"/>
                <w:szCs w:val="16"/>
                <w:lang w:val="en-US"/>
              </w:rPr>
            </w:pPr>
            <w:r>
              <w:rPr>
                <w:sz w:val="20"/>
                <w:szCs w:val="16"/>
                <w:lang w:val="en-US"/>
              </w:rPr>
              <w:t>ECP beneficial for RMS delay spreads greater than 500 ns</w:t>
            </w:r>
          </w:p>
        </w:tc>
      </w:tr>
      <w:tr w:rsidR="000D773D" w14:paraId="2EAEE870" w14:textId="77777777" w:rsidTr="001A42EA">
        <w:tc>
          <w:tcPr>
            <w:tcW w:w="2065" w:type="dxa"/>
          </w:tcPr>
          <w:p w14:paraId="6FD26499" w14:textId="6936D851" w:rsidR="000D773D" w:rsidRPr="00B949E1" w:rsidRDefault="000D773D" w:rsidP="000D773D">
            <w:pPr>
              <w:pStyle w:val="BodyText"/>
              <w:spacing w:after="0"/>
              <w:rPr>
                <w:sz w:val="20"/>
                <w:szCs w:val="16"/>
                <w:lang w:val="en-US"/>
              </w:rPr>
            </w:pPr>
            <w:r w:rsidRPr="00B949E1">
              <w:rPr>
                <w:sz w:val="20"/>
                <w:szCs w:val="16"/>
                <w:lang w:val="en-US"/>
              </w:rPr>
              <w:t>RRC signaling of SCS for SS/PBCH and PRACH numerologies for NSA operation</w:t>
            </w:r>
          </w:p>
        </w:tc>
        <w:tc>
          <w:tcPr>
            <w:tcW w:w="3330" w:type="dxa"/>
          </w:tcPr>
          <w:p w14:paraId="756A2682" w14:textId="15019FE1" w:rsidR="000D773D" w:rsidRPr="00B949E1" w:rsidRDefault="000D773D" w:rsidP="000D773D">
            <w:pPr>
              <w:pStyle w:val="BodyText"/>
              <w:spacing w:after="0"/>
              <w:rPr>
                <w:sz w:val="20"/>
                <w:szCs w:val="16"/>
                <w:lang w:val="en-US"/>
              </w:rPr>
            </w:pPr>
            <w:r w:rsidRPr="00B949E1">
              <w:rPr>
                <w:sz w:val="20"/>
                <w:szCs w:val="16"/>
                <w:lang w:val="en-US"/>
              </w:rPr>
              <w:t xml:space="preserve">Signaling </w:t>
            </w:r>
            <w:r w:rsidR="00846520">
              <w:rPr>
                <w:sz w:val="20"/>
                <w:szCs w:val="16"/>
                <w:lang w:val="en-US"/>
              </w:rPr>
              <w:t>already supported</w:t>
            </w:r>
          </w:p>
        </w:tc>
        <w:tc>
          <w:tcPr>
            <w:tcW w:w="4234" w:type="dxa"/>
          </w:tcPr>
          <w:p w14:paraId="04543CD8" w14:textId="31231037" w:rsidR="000D773D" w:rsidRPr="00B949E1" w:rsidRDefault="000D773D" w:rsidP="000D773D">
            <w:pPr>
              <w:pStyle w:val="BodyText"/>
              <w:spacing w:after="0"/>
              <w:rPr>
                <w:sz w:val="20"/>
                <w:szCs w:val="16"/>
                <w:lang w:val="en-US"/>
              </w:rPr>
            </w:pPr>
            <w:r w:rsidRPr="00B949E1">
              <w:rPr>
                <w:sz w:val="20"/>
                <w:szCs w:val="16"/>
                <w:lang w:val="en-US"/>
              </w:rPr>
              <w:t>Signaling of 60 kHz not supported for FR1 in Rel-15</w:t>
            </w:r>
          </w:p>
        </w:tc>
      </w:tr>
      <w:tr w:rsidR="000D773D" w14:paraId="24764A95" w14:textId="77777777" w:rsidTr="001A42EA">
        <w:tc>
          <w:tcPr>
            <w:tcW w:w="2065" w:type="dxa"/>
          </w:tcPr>
          <w:p w14:paraId="24C2259E" w14:textId="7F8A5F19" w:rsidR="000D773D" w:rsidRPr="00B949E1" w:rsidRDefault="000D773D" w:rsidP="000D773D">
            <w:pPr>
              <w:pStyle w:val="BodyText"/>
              <w:spacing w:after="0"/>
              <w:rPr>
                <w:sz w:val="20"/>
                <w:szCs w:val="16"/>
                <w:lang w:val="en-US"/>
              </w:rPr>
            </w:pPr>
            <w:r w:rsidRPr="00B949E1">
              <w:rPr>
                <w:sz w:val="20"/>
                <w:szCs w:val="16"/>
                <w:lang w:val="en-US"/>
              </w:rPr>
              <w:t>PBCH signaling of SCS for Msg 2/4 and SI for NSA operation</w:t>
            </w:r>
          </w:p>
        </w:tc>
        <w:tc>
          <w:tcPr>
            <w:tcW w:w="3330" w:type="dxa"/>
          </w:tcPr>
          <w:p w14:paraId="4729F4F1" w14:textId="2CAADDB0" w:rsidR="000D773D" w:rsidRPr="00B949E1" w:rsidRDefault="00846520" w:rsidP="000D773D">
            <w:pPr>
              <w:pStyle w:val="BodyText"/>
              <w:spacing w:after="0"/>
              <w:rPr>
                <w:sz w:val="20"/>
                <w:szCs w:val="16"/>
                <w:lang w:val="en-US"/>
              </w:rPr>
            </w:pPr>
            <w:r>
              <w:rPr>
                <w:sz w:val="20"/>
                <w:szCs w:val="16"/>
                <w:lang w:val="en-US"/>
              </w:rPr>
              <w:t>Signaling already supported</w:t>
            </w:r>
          </w:p>
        </w:tc>
        <w:tc>
          <w:tcPr>
            <w:tcW w:w="4234" w:type="dxa"/>
          </w:tcPr>
          <w:p w14:paraId="2FA69386" w14:textId="62947DF7" w:rsidR="000D773D" w:rsidRPr="00B949E1" w:rsidRDefault="000D773D" w:rsidP="000D773D">
            <w:pPr>
              <w:pStyle w:val="BodyText"/>
              <w:spacing w:after="0"/>
              <w:rPr>
                <w:sz w:val="20"/>
                <w:szCs w:val="16"/>
                <w:lang w:val="en-US"/>
              </w:rPr>
            </w:pPr>
            <w:r w:rsidRPr="00B949E1">
              <w:rPr>
                <w:sz w:val="20"/>
                <w:szCs w:val="16"/>
                <w:lang w:val="en-US"/>
              </w:rPr>
              <w:t>Signaling of 60 kHz not supported for FR1 in Rel-15</w:t>
            </w:r>
          </w:p>
        </w:tc>
      </w:tr>
      <w:tr w:rsidR="000D773D" w14:paraId="1C989D8C" w14:textId="77777777" w:rsidTr="001A42EA">
        <w:tc>
          <w:tcPr>
            <w:tcW w:w="2065" w:type="dxa"/>
          </w:tcPr>
          <w:p w14:paraId="24BDCF69" w14:textId="5CEBF430" w:rsidR="000D773D" w:rsidRPr="00B949E1" w:rsidRDefault="001A42EA" w:rsidP="000D773D">
            <w:pPr>
              <w:pStyle w:val="BodyText"/>
              <w:spacing w:after="0"/>
              <w:rPr>
                <w:sz w:val="20"/>
                <w:szCs w:val="16"/>
                <w:lang w:val="en-US"/>
              </w:rPr>
            </w:pPr>
            <w:r>
              <w:rPr>
                <w:sz w:val="20"/>
                <w:szCs w:val="16"/>
                <w:lang w:val="en-US"/>
              </w:rPr>
              <w:t xml:space="preserve">Extension of </w:t>
            </w:r>
            <w:r w:rsidR="000D773D" w:rsidRPr="00B949E1">
              <w:rPr>
                <w:sz w:val="20"/>
                <w:szCs w:val="16"/>
                <w:lang w:val="en-US"/>
              </w:rPr>
              <w:t>PDSCH-to-HARQ timing values in DCI</w:t>
            </w:r>
            <w:r>
              <w:rPr>
                <w:sz w:val="20"/>
                <w:szCs w:val="16"/>
                <w:lang w:val="en-US"/>
              </w:rPr>
              <w:t xml:space="preserve"> to indicate timing up to largest COT allowed by regulation </w:t>
            </w:r>
          </w:p>
        </w:tc>
        <w:tc>
          <w:tcPr>
            <w:tcW w:w="3330" w:type="dxa"/>
          </w:tcPr>
          <w:p w14:paraId="20CAA4CC" w14:textId="57E3CA2E" w:rsidR="000D773D" w:rsidRPr="00B949E1" w:rsidRDefault="00846520" w:rsidP="000D773D">
            <w:pPr>
              <w:pStyle w:val="BodyText"/>
              <w:spacing w:after="0"/>
              <w:rPr>
                <w:sz w:val="20"/>
                <w:szCs w:val="16"/>
                <w:lang w:val="en-US"/>
              </w:rPr>
            </w:pPr>
            <w:r>
              <w:rPr>
                <w:sz w:val="20"/>
                <w:szCs w:val="16"/>
                <w:lang w:val="en-US"/>
              </w:rPr>
              <w:t>Extension to 5 bits is beneficial</w:t>
            </w:r>
          </w:p>
        </w:tc>
        <w:tc>
          <w:tcPr>
            <w:tcW w:w="4234" w:type="dxa"/>
          </w:tcPr>
          <w:p w14:paraId="1920DBB0" w14:textId="6FBEF8C5" w:rsidR="000D773D" w:rsidRPr="00B949E1" w:rsidRDefault="00846520" w:rsidP="000D773D">
            <w:pPr>
              <w:pStyle w:val="BodyText"/>
              <w:spacing w:after="0"/>
              <w:rPr>
                <w:sz w:val="20"/>
                <w:szCs w:val="16"/>
                <w:lang w:val="en-US"/>
              </w:rPr>
            </w:pPr>
            <w:r>
              <w:rPr>
                <w:sz w:val="20"/>
                <w:szCs w:val="16"/>
                <w:lang w:val="en-US"/>
              </w:rPr>
              <w:t>E</w:t>
            </w:r>
            <w:r w:rsidR="000D773D" w:rsidRPr="00B949E1">
              <w:rPr>
                <w:sz w:val="20"/>
                <w:szCs w:val="16"/>
                <w:lang w:val="en-US"/>
              </w:rPr>
              <w:t xml:space="preserve">xtension to 6 bits </w:t>
            </w:r>
            <w:r w:rsidR="001A42EA">
              <w:rPr>
                <w:sz w:val="20"/>
                <w:szCs w:val="16"/>
                <w:lang w:val="en-US"/>
              </w:rPr>
              <w:t>beneficial</w:t>
            </w:r>
          </w:p>
        </w:tc>
      </w:tr>
      <w:tr w:rsidR="00B278F6" w14:paraId="242E83B4" w14:textId="77777777" w:rsidTr="001A42EA">
        <w:tc>
          <w:tcPr>
            <w:tcW w:w="2065" w:type="dxa"/>
          </w:tcPr>
          <w:p w14:paraId="7B922818" w14:textId="5EBFA3A6" w:rsidR="00B278F6" w:rsidRDefault="00B278F6" w:rsidP="000D773D">
            <w:pPr>
              <w:pStyle w:val="BodyText"/>
              <w:spacing w:after="0"/>
              <w:rPr>
                <w:szCs w:val="16"/>
                <w:lang w:val="en-US"/>
              </w:rPr>
            </w:pPr>
            <w:r>
              <w:rPr>
                <w:szCs w:val="16"/>
                <w:lang w:val="en-US"/>
              </w:rPr>
              <w:t xml:space="preserve">Possible extension of the number of HARQ IDs to </w:t>
            </w:r>
            <w:r w:rsidR="00495F25">
              <w:rPr>
                <w:szCs w:val="16"/>
                <w:lang w:val="en-US"/>
              </w:rPr>
              <w:t>fully exploit</w:t>
            </w:r>
            <w:r>
              <w:rPr>
                <w:szCs w:val="16"/>
                <w:lang w:val="en-US"/>
              </w:rPr>
              <w:t xml:space="preserve"> the largest COT without gaps allowed by regulation</w:t>
            </w:r>
          </w:p>
        </w:tc>
        <w:tc>
          <w:tcPr>
            <w:tcW w:w="3330" w:type="dxa"/>
          </w:tcPr>
          <w:p w14:paraId="3119135C" w14:textId="5C082E07" w:rsidR="00B278F6" w:rsidRDefault="00B278F6" w:rsidP="000D773D">
            <w:pPr>
              <w:pStyle w:val="BodyText"/>
              <w:spacing w:after="0"/>
              <w:rPr>
                <w:szCs w:val="16"/>
                <w:lang w:val="en-US"/>
              </w:rPr>
            </w:pPr>
            <w:r>
              <w:rPr>
                <w:szCs w:val="16"/>
                <w:lang w:val="en-US"/>
              </w:rPr>
              <w:t>No extension required</w:t>
            </w:r>
          </w:p>
        </w:tc>
        <w:tc>
          <w:tcPr>
            <w:tcW w:w="4234" w:type="dxa"/>
          </w:tcPr>
          <w:p w14:paraId="2A0886F7" w14:textId="2DEC1C51" w:rsidR="00B278F6" w:rsidRDefault="00B278F6" w:rsidP="000D773D">
            <w:pPr>
              <w:pStyle w:val="BodyText"/>
              <w:spacing w:after="0"/>
              <w:rPr>
                <w:szCs w:val="16"/>
                <w:lang w:val="en-US"/>
              </w:rPr>
            </w:pPr>
            <w:r>
              <w:rPr>
                <w:szCs w:val="16"/>
                <w:lang w:val="en-US"/>
              </w:rPr>
              <w:t xml:space="preserve">Extension to more than 16 may be </w:t>
            </w:r>
            <w:r w:rsidR="00495F25">
              <w:rPr>
                <w:szCs w:val="16"/>
                <w:lang w:val="en-US"/>
              </w:rPr>
              <w:t>needed</w:t>
            </w:r>
            <w:r>
              <w:rPr>
                <w:szCs w:val="16"/>
                <w:lang w:val="en-US"/>
              </w:rPr>
              <w:t xml:space="preserve"> (24 slots in a 6 </w:t>
            </w:r>
            <w:proofErr w:type="spellStart"/>
            <w:r>
              <w:rPr>
                <w:szCs w:val="16"/>
                <w:lang w:val="en-US"/>
              </w:rPr>
              <w:t>ms</w:t>
            </w:r>
            <w:proofErr w:type="spellEnd"/>
            <w:r>
              <w:rPr>
                <w:szCs w:val="16"/>
                <w:lang w:val="en-US"/>
              </w:rPr>
              <w:t xml:space="preserve"> COT)</w:t>
            </w:r>
          </w:p>
        </w:tc>
      </w:tr>
      <w:bookmarkEnd w:id="12"/>
    </w:tbl>
    <w:p w14:paraId="2C4B2EA6" w14:textId="038FD0FC" w:rsidR="006D6E7D" w:rsidRDefault="006D6E7D" w:rsidP="00891D52">
      <w:pPr>
        <w:pStyle w:val="BodyText"/>
      </w:pPr>
    </w:p>
    <w:p w14:paraId="3F510F57" w14:textId="0303F561" w:rsidR="007A2F5F" w:rsidRDefault="007A2F5F" w:rsidP="003B0D43">
      <w:pPr>
        <w:pStyle w:val="Proposal"/>
      </w:pPr>
      <w:bookmarkStart w:id="13" w:name="_Toc525913250"/>
      <w:r>
        <w:t xml:space="preserve">Due to considerations of deployment flexibility, performance, and </w:t>
      </w:r>
      <w:r w:rsidR="003017C9">
        <w:t>minimized</w:t>
      </w:r>
      <w:r>
        <w:t xml:space="preserve"> spec impact, </w:t>
      </w:r>
      <w:r w:rsidR="003B0D43">
        <w:t xml:space="preserve">30 kHz + NCP is prioritized for </w:t>
      </w:r>
      <w:r w:rsidR="00570782">
        <w:t xml:space="preserve">NR-U </w:t>
      </w:r>
      <w:r w:rsidR="003B0D43">
        <w:t xml:space="preserve">PHY layer </w:t>
      </w:r>
      <w:r w:rsidR="003017C9">
        <w:t xml:space="preserve">channel </w:t>
      </w:r>
      <w:r w:rsidR="003B0D43">
        <w:t xml:space="preserve">design and PHY </w:t>
      </w:r>
      <w:r w:rsidR="003017C9">
        <w:t xml:space="preserve">layer </w:t>
      </w:r>
      <w:r w:rsidR="003B0D43">
        <w:t>procedure design.</w:t>
      </w:r>
      <w:bookmarkEnd w:id="13"/>
    </w:p>
    <w:p w14:paraId="49E92B5B" w14:textId="0A96AD8E" w:rsidR="00DA12B7" w:rsidRPr="00DA12B7" w:rsidRDefault="00DA12B7" w:rsidP="00DA12B7">
      <w:pPr>
        <w:pStyle w:val="BodyText"/>
      </w:pPr>
      <w:r>
        <w:t>Since the agreement above concludes “</w:t>
      </w:r>
      <w:r w:rsidRPr="00DA12B7">
        <w:rPr>
          <w:lang w:val="en-US"/>
        </w:rPr>
        <w:t>For sub-7 GHz NR-U, study the SCSs 15/30/60kHz</w:t>
      </w:r>
      <w:r>
        <w:rPr>
          <w:lang w:val="en-US"/>
        </w:rPr>
        <w:t>,</w:t>
      </w:r>
      <w:r>
        <w:t xml:space="preserve">” including specification impact, it is proposed here that the specification impact be captured in the TR 38.889. We include a text proposal for the TR in </w:t>
      </w:r>
      <w:r>
        <w:fldChar w:fldCharType="begin"/>
      </w:r>
      <w:r>
        <w:instrText xml:space="preserve"> REF _Ref525832893 \r \h </w:instrText>
      </w:r>
      <w:r>
        <w:fldChar w:fldCharType="separate"/>
      </w:r>
      <w:r>
        <w:t>[3]</w:t>
      </w:r>
      <w:r>
        <w:fldChar w:fldCharType="end"/>
      </w:r>
      <w:r>
        <w:t>.</w:t>
      </w:r>
    </w:p>
    <w:p w14:paraId="4711ED4D" w14:textId="23AA2FD9" w:rsidR="00DA12B7" w:rsidRDefault="00DA12B7" w:rsidP="00DA12B7">
      <w:pPr>
        <w:pStyle w:val="Proposal"/>
      </w:pPr>
      <w:bookmarkStart w:id="14" w:name="_Toc525913251"/>
      <w:r>
        <w:t>Capture the specification impact of supporting different numerology candidates for FR1 operation for NR-U in TR 38.889.</w:t>
      </w:r>
      <w:r w:rsidR="00B278F6">
        <w:t xml:space="preserve"> A</w:t>
      </w:r>
      <w:r w:rsidR="00704754">
        <w:t xml:space="preserve"> TP is included in </w:t>
      </w:r>
      <w:r w:rsidR="00704754">
        <w:fldChar w:fldCharType="begin"/>
      </w:r>
      <w:r w:rsidR="00704754">
        <w:instrText xml:space="preserve"> REF _Ref525832893 \r \h </w:instrText>
      </w:r>
      <w:r w:rsidR="00704754">
        <w:fldChar w:fldCharType="separate"/>
      </w:r>
      <w:r w:rsidR="00704754">
        <w:t>[3]</w:t>
      </w:r>
      <w:r w:rsidR="00704754">
        <w:fldChar w:fldCharType="end"/>
      </w:r>
      <w:r w:rsidR="00704754">
        <w:t>.</w:t>
      </w:r>
      <w:bookmarkEnd w:id="14"/>
    </w:p>
    <w:p w14:paraId="54AD3214" w14:textId="27FE698D" w:rsidR="00DB72AF" w:rsidRDefault="00446710" w:rsidP="00DB72AF">
      <w:pPr>
        <w:pStyle w:val="Heading1"/>
      </w:pPr>
      <w:r>
        <w:lastRenderedPageBreak/>
        <w:t>4</w:t>
      </w:r>
      <w:r>
        <w:tab/>
      </w:r>
      <w:r w:rsidR="00DB72AF">
        <w:t>Wideband operation</w:t>
      </w:r>
    </w:p>
    <w:p w14:paraId="10CCB00F" w14:textId="7AD8004F" w:rsidR="00E75F5A" w:rsidRPr="00DF0091" w:rsidRDefault="00E75F5A" w:rsidP="00E75F5A">
      <w:pPr>
        <w:overflowPunct/>
        <w:autoSpaceDE/>
        <w:autoSpaceDN/>
        <w:adjustRightInd/>
        <w:spacing w:after="0"/>
        <w:textAlignment w:val="auto"/>
        <w:rPr>
          <w:rFonts w:ascii="Arial" w:eastAsia="PMingLiU" w:hAnsi="Arial" w:cs="Arial"/>
          <w:lang w:eastAsia="en-US"/>
        </w:rPr>
      </w:pPr>
      <w:r w:rsidRPr="00DF0091">
        <w:rPr>
          <w:rFonts w:ascii="Arial" w:eastAsia="PMingLiU" w:hAnsi="Arial" w:cs="Arial"/>
          <w:lang w:eastAsia="en-US"/>
        </w:rPr>
        <w:t>In RAN1#92b, the following agreement was made</w:t>
      </w:r>
      <w:r w:rsidR="00E534EA">
        <w:rPr>
          <w:rFonts w:ascii="Arial" w:eastAsia="PMingLiU" w:hAnsi="Arial" w:cs="Arial"/>
          <w:lang w:eastAsia="en-US"/>
        </w:rPr>
        <w:t>:</w:t>
      </w:r>
    </w:p>
    <w:p w14:paraId="178AF237" w14:textId="77777777" w:rsidR="00E75F5A" w:rsidRPr="00DF0091" w:rsidRDefault="00E75F5A" w:rsidP="00E75F5A">
      <w:pPr>
        <w:overflowPunct/>
        <w:autoSpaceDE/>
        <w:autoSpaceDN/>
        <w:adjustRightInd/>
        <w:spacing w:after="0"/>
        <w:ind w:left="720" w:hanging="720"/>
        <w:textAlignment w:val="auto"/>
        <w:rPr>
          <w:rFonts w:ascii="Times" w:eastAsia="Batang" w:hAnsi="Times"/>
          <w:szCs w:val="24"/>
          <w:highlight w:val="green"/>
          <w:lang w:eastAsia="en-US"/>
        </w:rPr>
      </w:pPr>
    </w:p>
    <w:p w14:paraId="487AD563" w14:textId="77777777" w:rsidR="00E75F5A" w:rsidRPr="001C0DE8" w:rsidRDefault="00E75F5A" w:rsidP="00E534EA">
      <w:pPr>
        <w:overflowPunct/>
        <w:autoSpaceDE/>
        <w:autoSpaceDN/>
        <w:adjustRightInd/>
        <w:spacing w:after="0"/>
        <w:ind w:left="720" w:hanging="720"/>
        <w:textAlignment w:val="auto"/>
        <w:rPr>
          <w:rFonts w:eastAsia="Batang"/>
          <w:szCs w:val="24"/>
          <w:lang w:eastAsia="en-US"/>
        </w:rPr>
      </w:pPr>
      <w:r w:rsidRPr="001C0DE8">
        <w:rPr>
          <w:rFonts w:eastAsia="Batang"/>
          <w:b/>
          <w:szCs w:val="24"/>
          <w:highlight w:val="green"/>
          <w:lang w:eastAsia="en-US"/>
        </w:rPr>
        <w:t>Agreement</w:t>
      </w:r>
      <w:r w:rsidRPr="001C0DE8">
        <w:rPr>
          <w:rFonts w:eastAsia="Batang"/>
          <w:szCs w:val="24"/>
          <w:highlight w:val="green"/>
          <w:lang w:eastAsia="en-US"/>
        </w:rPr>
        <w:t>:</w:t>
      </w:r>
    </w:p>
    <w:p w14:paraId="2B5913A7" w14:textId="77777777" w:rsidR="00E75F5A" w:rsidRPr="001C0DE8" w:rsidRDefault="00E75F5A" w:rsidP="00E534EA">
      <w:pPr>
        <w:widowControl w:val="0"/>
        <w:numPr>
          <w:ilvl w:val="0"/>
          <w:numId w:val="37"/>
        </w:numPr>
        <w:tabs>
          <w:tab w:val="clear" w:pos="720"/>
          <w:tab w:val="num" w:pos="360"/>
          <w:tab w:val="num" w:pos="1080"/>
        </w:tabs>
        <w:overflowPunct/>
        <w:autoSpaceDE/>
        <w:autoSpaceDN/>
        <w:adjustRightInd/>
        <w:spacing w:after="0"/>
        <w:jc w:val="both"/>
        <w:textAlignment w:val="auto"/>
        <w:rPr>
          <w:rFonts w:eastAsia="Batang"/>
          <w:i/>
          <w:szCs w:val="24"/>
          <w:lang w:val="en-US" w:eastAsia="en-US"/>
        </w:rPr>
      </w:pPr>
      <w:r w:rsidRPr="001C0DE8">
        <w:rPr>
          <w:rFonts w:eastAsia="Batang"/>
          <w:i/>
          <w:szCs w:val="24"/>
          <w:lang w:val="en-US" w:eastAsia="en-US"/>
        </w:rPr>
        <w:t xml:space="preserve">Study possible enhancements for HARQ operation </w:t>
      </w:r>
    </w:p>
    <w:p w14:paraId="1353BB99" w14:textId="77777777" w:rsidR="00E75F5A" w:rsidRPr="001C0DE8" w:rsidRDefault="00E75F5A" w:rsidP="00E534EA">
      <w:pPr>
        <w:widowControl w:val="0"/>
        <w:numPr>
          <w:ilvl w:val="0"/>
          <w:numId w:val="37"/>
        </w:numPr>
        <w:tabs>
          <w:tab w:val="clear" w:pos="720"/>
          <w:tab w:val="num" w:pos="360"/>
          <w:tab w:val="num" w:pos="1080"/>
        </w:tabs>
        <w:overflowPunct/>
        <w:autoSpaceDE/>
        <w:autoSpaceDN/>
        <w:adjustRightInd/>
        <w:spacing w:after="0"/>
        <w:jc w:val="both"/>
        <w:textAlignment w:val="auto"/>
        <w:rPr>
          <w:rFonts w:eastAsia="Batang"/>
          <w:i/>
          <w:szCs w:val="24"/>
          <w:lang w:val="en-US" w:eastAsia="en-US"/>
        </w:rPr>
      </w:pPr>
      <w:r w:rsidRPr="001C0DE8">
        <w:rPr>
          <w:rFonts w:eastAsia="Batang"/>
          <w:i/>
          <w:szCs w:val="24"/>
          <w:lang w:val="en-US" w:eastAsia="en-US"/>
        </w:rPr>
        <w:t>Study changes needed for Configured Grant support in NR-U</w:t>
      </w:r>
    </w:p>
    <w:p w14:paraId="0E508C77" w14:textId="77777777" w:rsidR="00E75F5A" w:rsidRPr="001C0DE8" w:rsidRDefault="00E75F5A" w:rsidP="00E534EA">
      <w:pPr>
        <w:widowControl w:val="0"/>
        <w:numPr>
          <w:ilvl w:val="0"/>
          <w:numId w:val="37"/>
        </w:numPr>
        <w:tabs>
          <w:tab w:val="clear" w:pos="720"/>
          <w:tab w:val="num" w:pos="360"/>
          <w:tab w:val="num" w:pos="1080"/>
        </w:tabs>
        <w:overflowPunct/>
        <w:autoSpaceDE/>
        <w:autoSpaceDN/>
        <w:adjustRightInd/>
        <w:spacing w:after="0"/>
        <w:jc w:val="both"/>
        <w:textAlignment w:val="auto"/>
        <w:rPr>
          <w:rFonts w:eastAsia="Batang"/>
          <w:i/>
          <w:szCs w:val="24"/>
          <w:lang w:val="en-US" w:eastAsia="en-US"/>
        </w:rPr>
      </w:pPr>
      <w:r w:rsidRPr="001C0DE8">
        <w:rPr>
          <w:rFonts w:eastAsia="Batang"/>
          <w:i/>
          <w:szCs w:val="24"/>
          <w:lang w:val="en-US" w:eastAsia="en-US"/>
        </w:rPr>
        <w:t xml:space="preserve">Baseline for study: If absence of Wi-Fi cannot be guaranteed (e.g. by regulation) </w:t>
      </w:r>
    </w:p>
    <w:p w14:paraId="43296754" w14:textId="77777777" w:rsidR="00E75F5A" w:rsidRPr="001C0DE8" w:rsidRDefault="00E75F5A" w:rsidP="00E534EA">
      <w:pPr>
        <w:overflowPunct/>
        <w:autoSpaceDE/>
        <w:autoSpaceDN/>
        <w:adjustRightInd/>
        <w:spacing w:after="0"/>
        <w:ind w:left="720"/>
        <w:textAlignment w:val="auto"/>
        <w:rPr>
          <w:rFonts w:eastAsia="Batang"/>
          <w:i/>
          <w:szCs w:val="24"/>
          <w:lang w:val="en-US" w:eastAsia="en-US"/>
        </w:rPr>
      </w:pPr>
      <w:r w:rsidRPr="001C0DE8">
        <w:rPr>
          <w:rFonts w:eastAsia="Batang"/>
          <w:i/>
          <w:szCs w:val="24"/>
          <w:lang w:val="en-US" w:eastAsia="en-US"/>
        </w:rPr>
        <w:t xml:space="preserve">in the band (sub-7 GHz) where NR-U is operating, the NR-U operating bandwidth is an integer  </w:t>
      </w:r>
    </w:p>
    <w:p w14:paraId="266DE0E7" w14:textId="77777777" w:rsidR="00E75F5A" w:rsidRPr="001C0DE8" w:rsidRDefault="00E75F5A" w:rsidP="00E534EA">
      <w:pPr>
        <w:overflowPunct/>
        <w:autoSpaceDE/>
        <w:autoSpaceDN/>
        <w:adjustRightInd/>
        <w:spacing w:after="0"/>
        <w:ind w:left="720"/>
        <w:textAlignment w:val="auto"/>
        <w:rPr>
          <w:rFonts w:eastAsia="Batang"/>
          <w:i/>
          <w:szCs w:val="24"/>
          <w:lang w:val="en-US" w:eastAsia="en-US"/>
        </w:rPr>
      </w:pPr>
      <w:r w:rsidRPr="001C0DE8">
        <w:rPr>
          <w:rFonts w:eastAsia="Batang"/>
          <w:i/>
          <w:szCs w:val="24"/>
          <w:lang w:val="en-US" w:eastAsia="en-US"/>
        </w:rPr>
        <w:t xml:space="preserve">multiple of 20MHz </w:t>
      </w:r>
    </w:p>
    <w:p w14:paraId="6059BA29" w14:textId="77777777" w:rsidR="00E75F5A" w:rsidRPr="001C0DE8" w:rsidRDefault="00E75F5A" w:rsidP="00E534EA">
      <w:pPr>
        <w:widowControl w:val="0"/>
        <w:numPr>
          <w:ilvl w:val="0"/>
          <w:numId w:val="37"/>
        </w:numPr>
        <w:tabs>
          <w:tab w:val="clear" w:pos="720"/>
          <w:tab w:val="num" w:pos="360"/>
          <w:tab w:val="num" w:pos="1080"/>
        </w:tabs>
        <w:overflowPunct/>
        <w:autoSpaceDE/>
        <w:autoSpaceDN/>
        <w:adjustRightInd/>
        <w:spacing w:after="0"/>
        <w:jc w:val="both"/>
        <w:textAlignment w:val="auto"/>
        <w:rPr>
          <w:rFonts w:eastAsia="Batang"/>
          <w:i/>
          <w:szCs w:val="24"/>
          <w:highlight w:val="yellow"/>
          <w:lang w:val="en-US" w:eastAsia="en-US"/>
        </w:rPr>
      </w:pPr>
      <w:r w:rsidRPr="001C0DE8">
        <w:rPr>
          <w:rFonts w:eastAsia="Batang"/>
          <w:i/>
          <w:szCs w:val="24"/>
          <w:highlight w:val="yellow"/>
          <w:lang w:val="en-US" w:eastAsia="en-US"/>
        </w:rPr>
        <w:t xml:space="preserve">At least for band where absence of Wi-Fi cannot be guaranteed (e.g. by regulation), LBT can be performed in units of 20 MHz. </w:t>
      </w:r>
    </w:p>
    <w:p w14:paraId="6D47923B" w14:textId="77777777" w:rsidR="00E75F5A" w:rsidRPr="001C0DE8" w:rsidRDefault="00E75F5A" w:rsidP="00E534EA">
      <w:pPr>
        <w:widowControl w:val="0"/>
        <w:numPr>
          <w:ilvl w:val="1"/>
          <w:numId w:val="37"/>
        </w:numPr>
        <w:overflowPunct/>
        <w:autoSpaceDE/>
        <w:autoSpaceDN/>
        <w:adjustRightInd/>
        <w:spacing w:after="0"/>
        <w:jc w:val="both"/>
        <w:textAlignment w:val="auto"/>
        <w:rPr>
          <w:rFonts w:eastAsia="Batang"/>
          <w:i/>
          <w:szCs w:val="24"/>
          <w:lang w:val="en-US" w:eastAsia="en-US"/>
        </w:rPr>
      </w:pPr>
      <w:r w:rsidRPr="001C0DE8">
        <w:rPr>
          <w:rFonts w:eastAsia="Batang"/>
          <w:i/>
          <w:szCs w:val="24"/>
          <w:highlight w:val="yellow"/>
          <w:lang w:val="en-US" w:eastAsia="en-US"/>
        </w:rPr>
        <w:t>FFS: details on how to perform LBT for as single carrier with bandwidth greater than 20 MHz, i.e., integer multiples of 20 MHz</w:t>
      </w:r>
      <w:r w:rsidRPr="001C0DE8">
        <w:rPr>
          <w:rFonts w:eastAsia="Batang"/>
          <w:i/>
          <w:szCs w:val="24"/>
          <w:lang w:val="en-US" w:eastAsia="en-US"/>
        </w:rPr>
        <w:t>.</w:t>
      </w:r>
    </w:p>
    <w:p w14:paraId="662411D3" w14:textId="34655C7B" w:rsidR="00E75F5A" w:rsidRPr="00E534EA" w:rsidRDefault="00E534EA" w:rsidP="00E534EA">
      <w:pPr>
        <w:widowControl w:val="0"/>
        <w:numPr>
          <w:ilvl w:val="0"/>
          <w:numId w:val="37"/>
        </w:numPr>
        <w:tabs>
          <w:tab w:val="clear" w:pos="720"/>
          <w:tab w:val="num" w:pos="360"/>
          <w:tab w:val="num" w:pos="1080"/>
        </w:tabs>
        <w:overflowPunct/>
        <w:autoSpaceDE/>
        <w:autoSpaceDN/>
        <w:adjustRightInd/>
        <w:spacing w:after="0"/>
        <w:jc w:val="both"/>
        <w:textAlignment w:val="auto"/>
        <w:rPr>
          <w:rFonts w:eastAsia="Batang"/>
          <w:szCs w:val="24"/>
          <w:lang w:val="en-US" w:eastAsia="en-US"/>
        </w:rPr>
      </w:pPr>
      <w:r w:rsidRPr="00E534EA">
        <w:rPr>
          <w:rFonts w:eastAsia="Batang"/>
          <w:szCs w:val="24"/>
          <w:lang w:val="en-US" w:eastAsia="en-US"/>
        </w:rPr>
        <w:t>…</w:t>
      </w:r>
    </w:p>
    <w:p w14:paraId="78DFB21E" w14:textId="77777777" w:rsidR="001747B9" w:rsidRDefault="001747B9" w:rsidP="00AB6E3E">
      <w:pPr>
        <w:pStyle w:val="BodyText"/>
        <w:rPr>
          <w:rFonts w:ascii="Times New Roman" w:hAnsi="Times New Roman"/>
          <w:lang w:eastAsia="ja-JP"/>
        </w:rPr>
      </w:pPr>
    </w:p>
    <w:p w14:paraId="1BAACFC4" w14:textId="634C1572" w:rsidR="00AB6E3E" w:rsidRDefault="00AB6E3E" w:rsidP="00AB6E3E">
      <w:pPr>
        <w:pStyle w:val="BodyText"/>
      </w:pPr>
      <w:r w:rsidRPr="00E534EA">
        <w:t>In this section</w:t>
      </w:r>
      <w:r>
        <w:t xml:space="preserve"> we </w:t>
      </w:r>
      <w:r w:rsidR="00E6624B">
        <w:t>address the FFS item</w:t>
      </w:r>
      <w:r w:rsidR="00D94931">
        <w:t xml:space="preserve"> by </w:t>
      </w:r>
      <w:r>
        <w:t>consider</w:t>
      </w:r>
      <w:r w:rsidR="00D94931">
        <w:t>ing</w:t>
      </w:r>
      <w:r>
        <w:t xml:space="preserve"> the details of how to perform LBT for wideband operation for both CA-based operation and single wideband carrier operation. In the latter, we assume that the carrier bandwidth is greater than 20 MHz and we focus on two primary options: </w:t>
      </w:r>
      <w:proofErr w:type="spellStart"/>
      <w:r>
        <w:t>subband</w:t>
      </w:r>
      <w:proofErr w:type="spellEnd"/>
      <w:r>
        <w:t xml:space="preserve"> LBT (units of 20 MHz) vs. wideband LBT (LBT on full BWP).</w:t>
      </w:r>
    </w:p>
    <w:p w14:paraId="217BCF4E" w14:textId="03ECBE27" w:rsidR="008455CB" w:rsidRDefault="008455CB" w:rsidP="00F275C6">
      <w:pPr>
        <w:pStyle w:val="BodyText"/>
      </w:pPr>
      <w:r>
        <w:t>As for NR in licensed bands</w:t>
      </w:r>
      <w:r w:rsidR="00DB72AF" w:rsidRPr="00F77360">
        <w:t xml:space="preserve">, it is expected that NR-U will support transmissions </w:t>
      </w:r>
      <w:r w:rsidR="00AB6E3E">
        <w:t>over a</w:t>
      </w:r>
      <w:r w:rsidR="00DB72AF" w:rsidRPr="00F77360">
        <w:t xml:space="preserve"> wide bandwidth</w:t>
      </w:r>
      <w:r w:rsidR="00AB6E3E">
        <w:t xml:space="preserve"> (&gt;&gt; 20 MHz).</w:t>
      </w:r>
      <w:r>
        <w:t xml:space="preserve"> In NR Rel-15 there are two modes of operation to support wideband transmissions:</w:t>
      </w:r>
    </w:p>
    <w:p w14:paraId="5C9A558E" w14:textId="77777777" w:rsidR="008455CB" w:rsidRPr="004B65A3" w:rsidRDefault="008455CB" w:rsidP="008455CB">
      <w:pPr>
        <w:pStyle w:val="Header"/>
        <w:widowControl/>
        <w:numPr>
          <w:ilvl w:val="0"/>
          <w:numId w:val="38"/>
        </w:numPr>
        <w:overflowPunct/>
        <w:autoSpaceDE/>
        <w:autoSpaceDN/>
        <w:adjustRightInd/>
        <w:textAlignment w:val="auto"/>
        <w:rPr>
          <w:rFonts w:cs="Arial"/>
          <w:sz w:val="20"/>
        </w:rPr>
      </w:pPr>
      <w:bookmarkStart w:id="15" w:name="_Hlk525634278"/>
      <w:r w:rsidRPr="004B65A3">
        <w:rPr>
          <w:rFonts w:cs="Arial"/>
          <w:sz w:val="20"/>
        </w:rPr>
        <w:t xml:space="preserve">Mode 1: </w:t>
      </w:r>
      <w:r w:rsidRPr="00DF0091">
        <w:rPr>
          <w:rFonts w:cs="Arial"/>
          <w:b w:val="0"/>
          <w:sz w:val="20"/>
        </w:rPr>
        <w:t>Carrier aggregation (CA)-based wideband operation analogous to LTE-eLAA</w:t>
      </w:r>
    </w:p>
    <w:p w14:paraId="27D11C80" w14:textId="77777777" w:rsidR="008455CB" w:rsidRPr="004B65A3" w:rsidRDefault="008455CB" w:rsidP="008455CB">
      <w:pPr>
        <w:pStyle w:val="Header"/>
        <w:widowControl/>
        <w:numPr>
          <w:ilvl w:val="0"/>
          <w:numId w:val="38"/>
        </w:numPr>
        <w:overflowPunct/>
        <w:autoSpaceDE/>
        <w:autoSpaceDN/>
        <w:adjustRightInd/>
        <w:textAlignment w:val="auto"/>
        <w:rPr>
          <w:rFonts w:cs="Arial"/>
          <w:sz w:val="20"/>
        </w:rPr>
      </w:pPr>
      <w:r w:rsidRPr="004B65A3">
        <w:rPr>
          <w:rFonts w:cs="Arial"/>
          <w:sz w:val="20"/>
        </w:rPr>
        <w:t xml:space="preserve">Mode 2: </w:t>
      </w:r>
      <w:r w:rsidRPr="00DF0091">
        <w:rPr>
          <w:rFonts w:cs="Arial"/>
          <w:b w:val="0"/>
          <w:sz w:val="20"/>
        </w:rPr>
        <w:t>Single wideband carrier operation based on a single active bandwidth part (BWP)</w:t>
      </w:r>
      <w:bookmarkEnd w:id="15"/>
    </w:p>
    <w:p w14:paraId="709699E2" w14:textId="75BC336E" w:rsidR="008455CB" w:rsidRDefault="008455CB" w:rsidP="00F275C6">
      <w:pPr>
        <w:pStyle w:val="BodyText"/>
      </w:pPr>
    </w:p>
    <w:p w14:paraId="00ABF17D" w14:textId="77777777" w:rsidR="008455CB" w:rsidRPr="00DF0091" w:rsidRDefault="008455CB" w:rsidP="008455CB">
      <w:pPr>
        <w:keepNext/>
        <w:overflowPunct/>
        <w:autoSpaceDE/>
        <w:autoSpaceDN/>
        <w:adjustRightInd/>
        <w:spacing w:after="0"/>
        <w:jc w:val="center"/>
        <w:textAlignment w:val="auto"/>
        <w:rPr>
          <w:rFonts w:ascii="Arial" w:eastAsia="PMingLiU" w:hAnsi="Arial" w:cs="Arial"/>
          <w:lang w:eastAsia="en-US"/>
        </w:rPr>
      </w:pPr>
      <w:r>
        <w:rPr>
          <w:rFonts w:cs="Arial"/>
          <w:noProof/>
        </w:rPr>
        <w:drawing>
          <wp:inline distT="0" distB="0" distL="0" distR="0" wp14:anchorId="624A086A" wp14:editId="717A6F39">
            <wp:extent cx="5486400" cy="282549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825496"/>
                    </a:xfrm>
                    <a:prstGeom prst="rect">
                      <a:avLst/>
                    </a:prstGeom>
                    <a:noFill/>
                  </pic:spPr>
                </pic:pic>
              </a:graphicData>
            </a:graphic>
          </wp:inline>
        </w:drawing>
      </w:r>
    </w:p>
    <w:p w14:paraId="5F5BE76E" w14:textId="77777777" w:rsidR="008455CB" w:rsidRPr="00DF0091" w:rsidRDefault="008455CB" w:rsidP="008455CB">
      <w:pPr>
        <w:keepNext/>
        <w:tabs>
          <w:tab w:val="center" w:pos="1350"/>
          <w:tab w:val="center" w:pos="4950"/>
        </w:tabs>
        <w:overflowPunct/>
        <w:autoSpaceDE/>
        <w:autoSpaceDN/>
        <w:adjustRightInd/>
        <w:spacing w:before="120" w:after="0"/>
        <w:textAlignment w:val="auto"/>
        <w:rPr>
          <w:rFonts w:ascii="Arial" w:eastAsia="PMingLiU" w:hAnsi="Arial" w:cs="Arial"/>
          <w:lang w:eastAsia="en-US"/>
        </w:rPr>
      </w:pPr>
      <w:r w:rsidRPr="00DF0091">
        <w:rPr>
          <w:rFonts w:ascii="Arial" w:eastAsia="PMingLiU" w:hAnsi="Arial" w:cs="Arial"/>
          <w:lang w:eastAsia="en-US"/>
        </w:rPr>
        <w:tab/>
      </w:r>
      <w:r w:rsidRPr="00DF0091">
        <w:rPr>
          <w:rFonts w:ascii="Arial" w:eastAsia="PMingLiU" w:hAnsi="Arial" w:cs="Arial"/>
          <w:b/>
          <w:lang w:eastAsia="en-US"/>
        </w:rPr>
        <w:t>Mode 1</w:t>
      </w:r>
      <w:r w:rsidRPr="00DF0091">
        <w:rPr>
          <w:rFonts w:ascii="Arial" w:eastAsia="PMingLiU" w:hAnsi="Arial" w:cs="Arial"/>
          <w:lang w:eastAsia="en-US"/>
        </w:rPr>
        <w:tab/>
      </w:r>
      <w:r w:rsidRPr="00DF0091">
        <w:rPr>
          <w:rFonts w:ascii="Arial" w:eastAsia="PMingLiU" w:hAnsi="Arial" w:cs="Arial"/>
          <w:b/>
          <w:lang w:eastAsia="en-US"/>
        </w:rPr>
        <w:t>Mode 2</w:t>
      </w:r>
    </w:p>
    <w:p w14:paraId="63CA4871" w14:textId="77D2F103" w:rsidR="008455CB" w:rsidRPr="008455CB" w:rsidRDefault="008455CB" w:rsidP="008455CB">
      <w:pPr>
        <w:overflowPunct/>
        <w:autoSpaceDE/>
        <w:autoSpaceDN/>
        <w:adjustRightInd/>
        <w:spacing w:before="120" w:after="120"/>
        <w:jc w:val="center"/>
        <w:textAlignment w:val="auto"/>
        <w:rPr>
          <w:rFonts w:ascii="Arial" w:eastAsia="PMingLiU" w:hAnsi="Arial" w:cs="Arial"/>
          <w:b/>
          <w:bCs/>
          <w:lang w:val="en-US" w:eastAsia="en-US"/>
        </w:rPr>
      </w:pPr>
      <w:bookmarkStart w:id="16" w:name="_Ref524529042"/>
      <w:r w:rsidRPr="008455CB">
        <w:rPr>
          <w:rFonts w:ascii="Arial" w:eastAsia="PMingLiU" w:hAnsi="Arial" w:cs="Arial"/>
          <w:b/>
          <w:bCs/>
          <w:lang w:val="en-US" w:eastAsia="en-US"/>
        </w:rPr>
        <w:t xml:space="preserve">Figure </w:t>
      </w:r>
      <w:r w:rsidRPr="008455CB">
        <w:rPr>
          <w:rFonts w:ascii="Arial" w:eastAsia="PMingLiU" w:hAnsi="Arial" w:cs="Arial"/>
          <w:b/>
          <w:bCs/>
          <w:noProof/>
          <w:lang w:val="en-US" w:eastAsia="en-US"/>
        </w:rPr>
        <w:fldChar w:fldCharType="begin"/>
      </w:r>
      <w:r w:rsidRPr="008455CB">
        <w:rPr>
          <w:rFonts w:ascii="Arial" w:eastAsia="PMingLiU" w:hAnsi="Arial" w:cs="Arial"/>
          <w:b/>
          <w:bCs/>
          <w:noProof/>
          <w:lang w:val="en-US" w:eastAsia="en-US"/>
        </w:rPr>
        <w:instrText xml:space="preserve"> SEQ Figure \* ARABIC </w:instrText>
      </w:r>
      <w:r w:rsidRPr="008455CB">
        <w:rPr>
          <w:rFonts w:ascii="Arial" w:eastAsia="PMingLiU" w:hAnsi="Arial" w:cs="Arial"/>
          <w:b/>
          <w:bCs/>
          <w:noProof/>
          <w:lang w:val="en-US" w:eastAsia="en-US"/>
        </w:rPr>
        <w:fldChar w:fldCharType="separate"/>
      </w:r>
      <w:r w:rsidR="00DA12B7">
        <w:rPr>
          <w:rFonts w:ascii="Arial" w:eastAsia="PMingLiU" w:hAnsi="Arial" w:cs="Arial"/>
          <w:b/>
          <w:bCs/>
          <w:noProof/>
          <w:lang w:val="en-US" w:eastAsia="en-US"/>
        </w:rPr>
        <w:t>3</w:t>
      </w:r>
      <w:r w:rsidRPr="008455CB">
        <w:rPr>
          <w:rFonts w:ascii="Arial" w:eastAsia="PMingLiU" w:hAnsi="Arial" w:cs="Arial"/>
          <w:b/>
          <w:bCs/>
          <w:noProof/>
          <w:lang w:val="en-US" w:eastAsia="en-US"/>
        </w:rPr>
        <w:fldChar w:fldCharType="end"/>
      </w:r>
      <w:bookmarkEnd w:id="16"/>
      <w:r w:rsidRPr="008455CB">
        <w:rPr>
          <w:rFonts w:ascii="Arial" w:eastAsia="PMingLiU" w:hAnsi="Arial" w:cs="Arial"/>
          <w:b/>
          <w:bCs/>
          <w:lang w:val="en-US" w:eastAsia="en-US"/>
        </w:rPr>
        <w:t>: Wideband operation modes: Mode 1 is CA-based; Mode 2 is single</w:t>
      </w:r>
      <w:r w:rsidR="002E2BD2">
        <w:rPr>
          <w:rFonts w:ascii="Arial" w:eastAsia="PMingLiU" w:hAnsi="Arial" w:cs="Arial"/>
          <w:b/>
          <w:bCs/>
          <w:lang w:val="en-US" w:eastAsia="en-US"/>
        </w:rPr>
        <w:t xml:space="preserve"> </w:t>
      </w:r>
      <w:r w:rsidRPr="008455CB">
        <w:rPr>
          <w:rFonts w:ascii="Arial" w:eastAsia="PMingLiU" w:hAnsi="Arial" w:cs="Arial"/>
          <w:b/>
          <w:bCs/>
          <w:lang w:val="en-US" w:eastAsia="en-US"/>
        </w:rPr>
        <w:t>wideband carrier-based.</w:t>
      </w:r>
    </w:p>
    <w:p w14:paraId="7B408CC7" w14:textId="77777777" w:rsidR="008455CB" w:rsidRDefault="008455CB" w:rsidP="00F275C6">
      <w:pPr>
        <w:pStyle w:val="BodyText"/>
        <w:rPr>
          <w:rStyle w:val="BodyTextChar"/>
          <w:lang w:eastAsia="en-US"/>
        </w:rPr>
      </w:pPr>
    </w:p>
    <w:p w14:paraId="4A446136" w14:textId="4B7F2E72" w:rsidR="008455CB" w:rsidRDefault="008455CB" w:rsidP="00F275C6">
      <w:pPr>
        <w:pStyle w:val="BodyText"/>
      </w:pPr>
      <w:r w:rsidRPr="00DF0091">
        <w:rPr>
          <w:rStyle w:val="BodyTextChar"/>
          <w:lang w:eastAsia="en-US"/>
        </w:rPr>
        <w:fldChar w:fldCharType="begin"/>
      </w:r>
      <w:r w:rsidRPr="00DF0091">
        <w:rPr>
          <w:rStyle w:val="BodyTextChar"/>
          <w:lang w:eastAsia="en-US"/>
        </w:rPr>
        <w:instrText xml:space="preserve"> REF _Ref524529042 \h  \* MERGEFORMAT </w:instrText>
      </w:r>
      <w:r w:rsidRPr="00DF0091">
        <w:rPr>
          <w:rStyle w:val="BodyTextChar"/>
          <w:lang w:eastAsia="en-US"/>
        </w:rPr>
      </w:r>
      <w:r w:rsidRPr="00DF0091">
        <w:rPr>
          <w:rStyle w:val="BodyTextChar"/>
          <w:lang w:eastAsia="en-US"/>
        </w:rPr>
        <w:fldChar w:fldCharType="separate"/>
      </w:r>
      <w:r w:rsidR="00DA12B7" w:rsidRPr="00DA12B7">
        <w:rPr>
          <w:rStyle w:val="BodyTextChar"/>
          <w:lang w:eastAsia="en-US"/>
        </w:rPr>
        <w:t>Figure 3</w:t>
      </w:r>
      <w:r w:rsidRPr="00DF0091">
        <w:rPr>
          <w:rStyle w:val="BodyTextChar"/>
          <w:lang w:eastAsia="en-US"/>
        </w:rPr>
        <w:fldChar w:fldCharType="end"/>
      </w:r>
      <w:r w:rsidRPr="00DF0091">
        <w:rPr>
          <w:rStyle w:val="BodyTextChar"/>
          <w:lang w:eastAsia="en-US"/>
        </w:rPr>
        <w:t xml:space="preserve"> </w:t>
      </w:r>
      <w:r w:rsidRPr="00DF0091">
        <w:rPr>
          <w:rStyle w:val="BodyTextChar"/>
        </w:rPr>
        <w:t>shows an example of these two modes for an operating bandwidth of 80 MHz. For Mode 1, the UE is configured with four component carriers (CC’s) totalling 80 MHz which are activated prior to reception/transmission.</w:t>
      </w:r>
      <w:r w:rsidR="00D94931" w:rsidRPr="00D94931">
        <w:t xml:space="preserve"> </w:t>
      </w:r>
      <w:r w:rsidR="00D94931">
        <w:t>As per</w:t>
      </w:r>
      <w:r w:rsidR="00D94931" w:rsidRPr="008455CB">
        <w:rPr>
          <w:rFonts w:eastAsia="PMingLiU" w:cs="Arial"/>
          <w:lang w:eastAsia="en-US"/>
        </w:rPr>
        <w:t xml:space="preserve"> </w:t>
      </w:r>
      <w:r w:rsidR="00D94931" w:rsidRPr="00DF0091">
        <w:rPr>
          <w:rFonts w:eastAsia="PMingLiU" w:cs="Arial"/>
          <w:lang w:eastAsia="en-US"/>
        </w:rPr>
        <w:t xml:space="preserve">the above RAN1 agreement, LBT </w:t>
      </w:r>
      <w:r w:rsidR="00EE479F">
        <w:rPr>
          <w:rFonts w:eastAsia="PMingLiU" w:cs="Arial"/>
          <w:lang w:eastAsia="en-US"/>
        </w:rPr>
        <w:t>can be</w:t>
      </w:r>
      <w:r w:rsidR="00D94931" w:rsidRPr="00DF0091">
        <w:rPr>
          <w:rFonts w:eastAsia="PMingLiU" w:cs="Arial"/>
          <w:lang w:eastAsia="en-US"/>
        </w:rPr>
        <w:t xml:space="preserve"> performed in units of 20 MHz</w:t>
      </w:r>
      <w:r w:rsidR="00E7639D">
        <w:rPr>
          <w:rFonts w:eastAsia="PMingLiU" w:cs="Arial"/>
          <w:lang w:eastAsia="en-US"/>
        </w:rPr>
        <w:t xml:space="preserve"> for Mode 1. </w:t>
      </w:r>
      <w:r w:rsidR="00D94931">
        <w:rPr>
          <w:rFonts w:eastAsia="PMingLiU" w:cs="Arial"/>
          <w:lang w:eastAsia="en-US"/>
        </w:rPr>
        <w:t xml:space="preserve">Hence, it makes sense to configure the individual CC’s with a bandwidth of 20 MHz such that the CC bandwidth and the LBT bandwidth are one and the same. </w:t>
      </w:r>
      <w:r w:rsidRPr="00DF0091">
        <w:rPr>
          <w:rStyle w:val="BodyTextChar"/>
        </w:rPr>
        <w:t xml:space="preserve">For Mode 2, </w:t>
      </w:r>
      <w:r w:rsidR="00D94931">
        <w:rPr>
          <w:rStyle w:val="BodyTextChar"/>
        </w:rPr>
        <w:t xml:space="preserve">on the other hand, </w:t>
      </w:r>
      <w:r w:rsidRPr="00DF0091">
        <w:rPr>
          <w:rStyle w:val="BodyTextChar"/>
        </w:rPr>
        <w:t>the UE is configured with a single 80 MHz bandwidth part (BWP) which is assumed activated prior to reception/transmission. As shown in the diagram, the wideband carrier (CC) may be greater than 80 MHz; the BWP is simply the part of this wideband carrier for which the UE is configured for transmission/reception.</w:t>
      </w:r>
      <w:r w:rsidR="00E7639D">
        <w:rPr>
          <w:rStyle w:val="BodyTextChar"/>
        </w:rPr>
        <w:t xml:space="preserve"> For this Mode it is still FFS on how to perform LBT.</w:t>
      </w:r>
    </w:p>
    <w:p w14:paraId="4AF344CF" w14:textId="3060266A" w:rsidR="00D94931" w:rsidRDefault="008455CB" w:rsidP="00F275C6">
      <w:pPr>
        <w:pStyle w:val="BodyText"/>
      </w:pPr>
      <w:r>
        <w:lastRenderedPageBreak/>
        <w:t xml:space="preserve">One claimed drawback of </w:t>
      </w:r>
      <w:r w:rsidR="00D94931">
        <w:t xml:space="preserve">Mode 1 is that each CC has a guard band defined by RAN4 which </w:t>
      </w:r>
      <w:r w:rsidR="00E7639D">
        <w:t>reduces</w:t>
      </w:r>
      <w:r w:rsidR="00D94931">
        <w:t xml:space="preserve"> the spectral utilization efficiency compared to Mode 2 for the case when transmission occurs over the full BWP. However, from RAN4 perspective there is no requirement that the guard bands between two or more </w:t>
      </w:r>
      <w:r w:rsidR="00D94931" w:rsidRPr="00D94931">
        <w:rPr>
          <w:i/>
        </w:rPr>
        <w:t>contiguous</w:t>
      </w:r>
      <w:r w:rsidR="00D94931">
        <w:t xml:space="preserve"> carriers are left empty. Hence, optimizations may be considered whereby the transmitting device uses the guard REs and the receiving device assumes that </w:t>
      </w:r>
      <w:proofErr w:type="spellStart"/>
      <w:r w:rsidR="00D94931">
        <w:t>PxSCH</w:t>
      </w:r>
      <w:proofErr w:type="spellEnd"/>
      <w:r w:rsidR="00D94931">
        <w:t xml:space="preserve"> is mapped to these </w:t>
      </w:r>
      <w:proofErr w:type="spellStart"/>
      <w:r w:rsidR="00D94931">
        <w:t>REs.</w:t>
      </w:r>
      <w:proofErr w:type="spellEnd"/>
    </w:p>
    <w:p w14:paraId="27A7D7DF" w14:textId="28CF6090" w:rsidR="00D94931" w:rsidRDefault="00E7639D" w:rsidP="00D94931">
      <w:pPr>
        <w:pStyle w:val="Proposal"/>
      </w:pPr>
      <w:bookmarkStart w:id="17" w:name="_Toc525913252"/>
      <w:r>
        <w:t xml:space="preserve">For CA-based wideband operation in NR-U, it is beneficial to utilize </w:t>
      </w:r>
      <w:r w:rsidR="00D94931">
        <w:t>the guard band</w:t>
      </w:r>
      <w:r>
        <w:t>s</w:t>
      </w:r>
      <w:r w:rsidR="00D94931">
        <w:t xml:space="preserve"> between two or more contiguous CCs for </w:t>
      </w:r>
      <w:proofErr w:type="spellStart"/>
      <w:r w:rsidR="00D94931">
        <w:t>PxSCH</w:t>
      </w:r>
      <w:proofErr w:type="spellEnd"/>
      <w:r w:rsidR="00D94931">
        <w:t xml:space="preserve"> reception (x = D for downlink and =</w:t>
      </w:r>
      <w:r>
        <w:t xml:space="preserve"> U for uplink).</w:t>
      </w:r>
      <w:bookmarkEnd w:id="17"/>
    </w:p>
    <w:p w14:paraId="31C53567" w14:textId="289FF713" w:rsidR="00D94931" w:rsidRDefault="00E7639D" w:rsidP="00F275C6">
      <w:pPr>
        <w:pStyle w:val="BodyText"/>
      </w:pPr>
      <w:r>
        <w:t>For Mode 2, as per the above agreement, it is FFS on how to perform LBT. Two possible approaches considered here are: (1) sub-band LBT where LBT is performed in units of 20 MHz, and (2) wideband LBT where LBT is performed over the full bandwidth of the BWP. In the latter, transmission only occurs if the entire BWP</w:t>
      </w:r>
      <w:r w:rsidR="00DB14D1">
        <w:t xml:space="preserve"> is sensed as unoccupied.</w:t>
      </w:r>
    </w:p>
    <w:p w14:paraId="1F4CE5D9" w14:textId="7F7EB7B9" w:rsidR="00E7639D" w:rsidRDefault="00E7639D" w:rsidP="00E7639D">
      <w:pPr>
        <w:pStyle w:val="Heading2"/>
      </w:pPr>
      <w:r>
        <w:t>4.1</w:t>
      </w:r>
      <w:r>
        <w:tab/>
        <w:t>Sub-band LBT</w:t>
      </w:r>
    </w:p>
    <w:p w14:paraId="711982CD" w14:textId="0863236B" w:rsidR="00DB14D1" w:rsidRDefault="00E7639D" w:rsidP="00E7639D">
      <w:pPr>
        <w:pStyle w:val="BodyText"/>
        <w:rPr>
          <w:rStyle w:val="BodyTextChar"/>
          <w:lang w:eastAsia="en-US"/>
        </w:rPr>
      </w:pPr>
      <w:r>
        <w:t xml:space="preserve">For sub-band LBT, we introduce the terminology “LBT bandwidth </w:t>
      </w:r>
      <w:r w:rsidR="00DB14D1">
        <w:t xml:space="preserve">piece” which according to above agreement is 20 MHz wide. As shown in </w:t>
      </w:r>
      <w:r w:rsidR="00DB14D1" w:rsidRPr="00DF0091">
        <w:rPr>
          <w:rStyle w:val="BodyTextChar"/>
          <w:lang w:eastAsia="en-US"/>
        </w:rPr>
        <w:fldChar w:fldCharType="begin"/>
      </w:r>
      <w:r w:rsidR="00DB14D1" w:rsidRPr="00DF0091">
        <w:rPr>
          <w:rStyle w:val="BodyTextChar"/>
          <w:lang w:eastAsia="en-US"/>
        </w:rPr>
        <w:instrText xml:space="preserve"> REF _Ref524529042 \h  \* MERGEFORMAT </w:instrText>
      </w:r>
      <w:r w:rsidR="00DB14D1" w:rsidRPr="00DF0091">
        <w:rPr>
          <w:rStyle w:val="BodyTextChar"/>
          <w:lang w:eastAsia="en-US"/>
        </w:rPr>
      </w:r>
      <w:r w:rsidR="00DB14D1" w:rsidRPr="00DF0091">
        <w:rPr>
          <w:rStyle w:val="BodyTextChar"/>
          <w:lang w:eastAsia="en-US"/>
        </w:rPr>
        <w:fldChar w:fldCharType="separate"/>
      </w:r>
      <w:r w:rsidR="00DA12B7" w:rsidRPr="00DA12B7">
        <w:rPr>
          <w:rStyle w:val="BodyTextChar"/>
          <w:lang w:eastAsia="en-US"/>
        </w:rPr>
        <w:t>Figure 3</w:t>
      </w:r>
      <w:r w:rsidR="00DB14D1" w:rsidRPr="00DF0091">
        <w:rPr>
          <w:rStyle w:val="BodyTextChar"/>
          <w:lang w:eastAsia="en-US"/>
        </w:rPr>
        <w:fldChar w:fldCharType="end"/>
      </w:r>
      <w:r w:rsidR="00DB14D1">
        <w:rPr>
          <w:rStyle w:val="BodyTextChar"/>
          <w:lang w:eastAsia="en-US"/>
        </w:rPr>
        <w:t>, the 80 MHz BWP consists of 4 LBT bandwidth pieces. In principle, if an LBT bandwidth piece is sensed as unoccupied, then transmission may occur in that LBT bandwidth piece. However, there are several important aspects that need to be considered before this type of operation could be enabled.</w:t>
      </w:r>
    </w:p>
    <w:p w14:paraId="7305934C" w14:textId="6A1F2A66" w:rsidR="00DB14D1" w:rsidRDefault="00DB14D1" w:rsidP="00DB14D1">
      <w:pPr>
        <w:pStyle w:val="Heading3"/>
        <w:rPr>
          <w:lang w:eastAsia="en-US"/>
        </w:rPr>
      </w:pPr>
      <w:r>
        <w:rPr>
          <w:lang w:eastAsia="en-US"/>
        </w:rPr>
        <w:t>4.1.1</w:t>
      </w:r>
      <w:r>
        <w:rPr>
          <w:lang w:eastAsia="en-US"/>
        </w:rPr>
        <w:tab/>
        <w:t>CORESET Configuration</w:t>
      </w:r>
    </w:p>
    <w:p w14:paraId="6F408AC0" w14:textId="47D0C875" w:rsidR="00930F86" w:rsidRDefault="00DB14D1" w:rsidP="00930F86">
      <w:pPr>
        <w:pStyle w:val="BodyText"/>
        <w:rPr>
          <w:rFonts w:cs="Arial"/>
        </w:rPr>
      </w:pPr>
      <w:r>
        <w:t xml:space="preserve">As shown in </w:t>
      </w:r>
      <w:r w:rsidR="00930F86" w:rsidRPr="00DF0091">
        <w:rPr>
          <w:rStyle w:val="BodyTextChar"/>
          <w:lang w:eastAsia="en-US"/>
        </w:rPr>
        <w:fldChar w:fldCharType="begin"/>
      </w:r>
      <w:r w:rsidR="00930F86" w:rsidRPr="00DF0091">
        <w:rPr>
          <w:rStyle w:val="BodyTextChar"/>
          <w:lang w:eastAsia="en-US"/>
        </w:rPr>
        <w:instrText xml:space="preserve"> REF _Ref524529042 \h  \* MERGEFORMAT </w:instrText>
      </w:r>
      <w:r w:rsidR="00930F86" w:rsidRPr="00DF0091">
        <w:rPr>
          <w:rStyle w:val="BodyTextChar"/>
          <w:lang w:eastAsia="en-US"/>
        </w:rPr>
      </w:r>
      <w:r w:rsidR="00930F86" w:rsidRPr="00DF0091">
        <w:rPr>
          <w:rStyle w:val="BodyTextChar"/>
          <w:lang w:eastAsia="en-US"/>
        </w:rPr>
        <w:fldChar w:fldCharType="separate"/>
      </w:r>
      <w:r w:rsidR="00DA12B7" w:rsidRPr="00DA12B7">
        <w:rPr>
          <w:rStyle w:val="BodyTextChar"/>
          <w:lang w:eastAsia="en-US"/>
        </w:rPr>
        <w:t>Figure 3</w:t>
      </w:r>
      <w:r w:rsidR="00930F86" w:rsidRPr="00DF0091">
        <w:rPr>
          <w:rStyle w:val="BodyTextChar"/>
          <w:lang w:eastAsia="en-US"/>
        </w:rPr>
        <w:fldChar w:fldCharType="end"/>
      </w:r>
      <w:r w:rsidR="00930F86">
        <w:rPr>
          <w:rStyle w:val="BodyTextChar"/>
          <w:lang w:eastAsia="en-US"/>
        </w:rPr>
        <w:t xml:space="preserve">, </w:t>
      </w:r>
      <w:r w:rsidR="00930F86">
        <w:rPr>
          <w:rFonts w:cs="Arial"/>
        </w:rPr>
        <w:t>separate CORESETs and search spaces need to be configured for different LBT bandwidth pieces to ensure the availability of control signalling when at least one LBT bandwidth piece is available for PDSCH transmission. It is undesirable to configure a wide CORESET across LBT bandwidth pieces, since if LBT fails on one of the pieces, the PDCCH would need to be punctured in that LBT bandwidth piece, degrading the control channel reliability. Hence, in both Mode-1 and Mode-2 are identical in terms of total number of required CORESETs. We note</w:t>
      </w:r>
      <w:r w:rsidR="004E52A9">
        <w:rPr>
          <w:rFonts w:cs="Arial"/>
        </w:rPr>
        <w:t>,</w:t>
      </w:r>
      <w:r w:rsidR="00930F86">
        <w:rPr>
          <w:rFonts w:cs="Arial"/>
        </w:rPr>
        <w:t xml:space="preserve"> however, that NR Rel-15 sets a limit on the maximum number of CORESETs per </w:t>
      </w:r>
      <w:r w:rsidR="004E52A9">
        <w:rPr>
          <w:rFonts w:cs="Arial"/>
        </w:rPr>
        <w:t>BWP</w:t>
      </w:r>
      <w:r w:rsidR="00930F86">
        <w:rPr>
          <w:rFonts w:cs="Arial"/>
        </w:rPr>
        <w:t xml:space="preserve">. Hence, Mode 2 will </w:t>
      </w:r>
      <w:r w:rsidR="00D902C6">
        <w:rPr>
          <w:rFonts w:cs="Arial"/>
        </w:rPr>
        <w:t xml:space="preserve">ultimately </w:t>
      </w:r>
      <w:r w:rsidR="00930F86">
        <w:rPr>
          <w:rFonts w:cs="Arial"/>
        </w:rPr>
        <w:t xml:space="preserve">run into difficulties as the bandwidth of the BWP </w:t>
      </w:r>
      <w:r w:rsidR="00D902C6">
        <w:rPr>
          <w:rFonts w:cs="Arial"/>
        </w:rPr>
        <w:t>increases.</w:t>
      </w:r>
    </w:p>
    <w:p w14:paraId="1F881CBE" w14:textId="4B6BFC31" w:rsidR="00D902C6" w:rsidRDefault="00D902C6" w:rsidP="00DB14D1">
      <w:pPr>
        <w:pStyle w:val="Observation"/>
      </w:pPr>
      <w:bookmarkStart w:id="18" w:name="_Toc525912119"/>
      <w:r>
        <w:t xml:space="preserve">Single wideband carrier operation (Mode-2) </w:t>
      </w:r>
      <w:r w:rsidR="004E52A9">
        <w:t xml:space="preserve">with sub-band LBT </w:t>
      </w:r>
      <w:r>
        <w:t xml:space="preserve">requires the same total number of CORESETs to be configured as CA-based operation (Mode-1) when considering  the same bandwidth. Limitations on the number of CORESETs per </w:t>
      </w:r>
      <w:r w:rsidR="004E52A9">
        <w:t>BWP</w:t>
      </w:r>
      <w:r>
        <w:t xml:space="preserve"> may pose</w:t>
      </w:r>
      <w:r w:rsidR="004E52A9">
        <w:t xml:space="preserve"> bandwidth</w:t>
      </w:r>
      <w:r>
        <w:t xml:space="preserve"> scaling </w:t>
      </w:r>
      <w:r w:rsidR="004E52A9">
        <w:t>issues</w:t>
      </w:r>
      <w:r>
        <w:t xml:space="preserve"> for Mode-2.</w:t>
      </w:r>
      <w:bookmarkEnd w:id="18"/>
    </w:p>
    <w:p w14:paraId="4D20342E" w14:textId="0FB15A02" w:rsidR="00DB14D1" w:rsidRDefault="00DB14D1" w:rsidP="00DB14D1">
      <w:pPr>
        <w:pStyle w:val="Heading3"/>
      </w:pPr>
      <w:r>
        <w:t>4.1.2</w:t>
      </w:r>
      <w:r>
        <w:tab/>
        <w:t>Puncturing/Rat</w:t>
      </w:r>
      <w:bookmarkStart w:id="19" w:name="_GoBack"/>
      <w:bookmarkEnd w:id="19"/>
      <w:r>
        <w:t>e Matching</w:t>
      </w:r>
    </w:p>
    <w:p w14:paraId="4FC1DA47" w14:textId="10228F1E" w:rsidR="00666BE8" w:rsidRDefault="00666BE8" w:rsidP="00666BE8">
      <w:pPr>
        <w:pStyle w:val="IvDInstructiontext"/>
        <w:jc w:val="both"/>
        <w:rPr>
          <w:rStyle w:val="IvDbodytextChar"/>
          <w:i w:val="0"/>
          <w:color w:val="auto"/>
          <w:sz w:val="20"/>
          <w:szCs w:val="20"/>
        </w:rPr>
      </w:pPr>
      <w:r>
        <w:rPr>
          <w:rStyle w:val="IvDbodytextChar"/>
          <w:i w:val="0"/>
          <w:color w:val="auto"/>
          <w:sz w:val="20"/>
          <w:szCs w:val="20"/>
        </w:rPr>
        <w:t xml:space="preserve">In NR, a series of transport block (TB) processing steps are required before a </w:t>
      </w:r>
      <w:proofErr w:type="spellStart"/>
      <w:r>
        <w:rPr>
          <w:rStyle w:val="IvDbodytextChar"/>
          <w:i w:val="0"/>
          <w:color w:val="auto"/>
          <w:sz w:val="20"/>
          <w:szCs w:val="20"/>
        </w:rPr>
        <w:t>PxSCH</w:t>
      </w:r>
      <w:proofErr w:type="spellEnd"/>
      <w:r>
        <w:rPr>
          <w:rStyle w:val="IvDbodytextChar"/>
          <w:i w:val="0"/>
          <w:color w:val="auto"/>
          <w:sz w:val="20"/>
          <w:szCs w:val="20"/>
        </w:rPr>
        <w:t xml:space="preserve"> transmission can occur on the physical channel. The steps include transport block size (TBS) determination, followed by possible segmentation of the TB into one or more </w:t>
      </w:r>
      <w:proofErr w:type="spellStart"/>
      <w:r>
        <w:rPr>
          <w:rStyle w:val="IvDbodytextChar"/>
          <w:i w:val="0"/>
          <w:color w:val="auto"/>
          <w:sz w:val="20"/>
          <w:szCs w:val="20"/>
        </w:rPr>
        <w:t>codeblocks</w:t>
      </w:r>
      <w:proofErr w:type="spellEnd"/>
      <w:r>
        <w:rPr>
          <w:rStyle w:val="IvDbodytextChar"/>
          <w:i w:val="0"/>
          <w:color w:val="auto"/>
          <w:sz w:val="20"/>
          <w:szCs w:val="20"/>
        </w:rPr>
        <w:t xml:space="preserve"> or </w:t>
      </w:r>
      <w:proofErr w:type="spellStart"/>
      <w:r>
        <w:rPr>
          <w:rStyle w:val="IvDbodytextChar"/>
          <w:i w:val="0"/>
          <w:color w:val="auto"/>
          <w:sz w:val="20"/>
          <w:szCs w:val="20"/>
        </w:rPr>
        <w:t>codeblock</w:t>
      </w:r>
      <w:proofErr w:type="spellEnd"/>
      <w:r>
        <w:rPr>
          <w:rStyle w:val="IvDbodytextChar"/>
          <w:i w:val="0"/>
          <w:color w:val="auto"/>
          <w:sz w:val="20"/>
          <w:szCs w:val="20"/>
        </w:rPr>
        <w:t xml:space="preserve"> groups, data encoding, CRC attachment, modulation, layer mapping, and precoding. These steps take time, and thus must be performed in advance of the slot scheduled for </w:t>
      </w:r>
      <w:proofErr w:type="spellStart"/>
      <w:r>
        <w:rPr>
          <w:rStyle w:val="IvDbodytextChar"/>
          <w:i w:val="0"/>
          <w:color w:val="auto"/>
          <w:sz w:val="20"/>
          <w:szCs w:val="20"/>
        </w:rPr>
        <w:t>PxSCH</w:t>
      </w:r>
      <w:proofErr w:type="spellEnd"/>
      <w:r>
        <w:rPr>
          <w:rStyle w:val="IvDbodytextChar"/>
          <w:i w:val="0"/>
          <w:color w:val="auto"/>
          <w:sz w:val="20"/>
          <w:szCs w:val="20"/>
        </w:rPr>
        <w:t xml:space="preserve"> transmission. Moreover, since LBT procedures are performed just in advance of the scheduled slot, some or all of the TB processing steps must be performed in advance of the LBT procedure as well. Consequently, during TB processing for Mode 2 operation, the transmitting device (gNB or UE) would need to assume that all LBT bandwidth pieces are available for transmission since there is little or no time for TB re-processing to account for one or more LBT bandwidth pieces being unavailable due to LBT failure. </w:t>
      </w:r>
      <w:r w:rsidR="006523C0">
        <w:rPr>
          <w:rStyle w:val="IvDbodytextChar"/>
          <w:i w:val="0"/>
          <w:color w:val="auto"/>
          <w:sz w:val="20"/>
          <w:szCs w:val="20"/>
        </w:rPr>
        <w:t xml:space="preserve">It gets more complicated in the UL since the scheduling information is already provided by the gNB via the grant, and the UE does not have the flexibility to adjust it. </w:t>
      </w:r>
      <w:r>
        <w:rPr>
          <w:rStyle w:val="IvDbodytextChar"/>
          <w:i w:val="0"/>
          <w:color w:val="auto"/>
          <w:sz w:val="20"/>
          <w:szCs w:val="20"/>
        </w:rPr>
        <w:t>This is in contrast to Mode 1 operation where separate TB processing is performed on a per-CC basis, and if one or more CC’s is unavailable for transmission, the TB(s) in other CC’s do not need to be re-processed.</w:t>
      </w:r>
    </w:p>
    <w:p w14:paraId="309D043F" w14:textId="3DBB35B8" w:rsidR="00E9453F" w:rsidRDefault="00666BE8" w:rsidP="00E9453F">
      <w:pPr>
        <w:pStyle w:val="IvDInstructiontext"/>
        <w:spacing w:after="120"/>
        <w:jc w:val="both"/>
        <w:rPr>
          <w:rStyle w:val="IvDbodytextChar"/>
          <w:i w:val="0"/>
          <w:color w:val="auto"/>
          <w:sz w:val="20"/>
          <w:szCs w:val="20"/>
        </w:rPr>
      </w:pPr>
      <w:r>
        <w:rPr>
          <w:rStyle w:val="IvDbodytextChar"/>
          <w:i w:val="0"/>
          <w:color w:val="auto"/>
          <w:sz w:val="20"/>
          <w:szCs w:val="20"/>
        </w:rPr>
        <w:lastRenderedPageBreak/>
        <w:t xml:space="preserve">For Mode-2, one way to handle </w:t>
      </w:r>
      <w:r w:rsidR="00F611DA">
        <w:rPr>
          <w:rStyle w:val="IvDbodytextChar"/>
          <w:i w:val="0"/>
          <w:color w:val="auto"/>
          <w:sz w:val="20"/>
          <w:szCs w:val="20"/>
        </w:rPr>
        <w:t>such timing</w:t>
      </w:r>
      <w:r>
        <w:rPr>
          <w:rStyle w:val="IvDbodytextChar"/>
          <w:i w:val="0"/>
          <w:color w:val="auto"/>
          <w:sz w:val="20"/>
          <w:szCs w:val="20"/>
        </w:rPr>
        <w:t xml:space="preserve"> </w:t>
      </w:r>
      <w:r w:rsidR="00F611DA">
        <w:rPr>
          <w:rStyle w:val="IvDbodytextChar"/>
          <w:i w:val="0"/>
          <w:color w:val="auto"/>
          <w:sz w:val="20"/>
          <w:szCs w:val="20"/>
        </w:rPr>
        <w:t>constraints</w:t>
      </w:r>
      <w:r>
        <w:rPr>
          <w:rStyle w:val="IvDbodytextChar"/>
          <w:i w:val="0"/>
          <w:color w:val="auto"/>
          <w:sz w:val="20"/>
          <w:szCs w:val="20"/>
        </w:rPr>
        <w:t>, thus avoiding fully re-processing the TB</w:t>
      </w:r>
      <w:r w:rsidR="00F611DA">
        <w:rPr>
          <w:rStyle w:val="IvDbodytextChar"/>
          <w:i w:val="0"/>
          <w:color w:val="auto"/>
          <w:sz w:val="20"/>
          <w:szCs w:val="20"/>
        </w:rPr>
        <w:t>,</w:t>
      </w:r>
      <w:r>
        <w:rPr>
          <w:rStyle w:val="IvDbodytextChar"/>
          <w:i w:val="0"/>
          <w:color w:val="auto"/>
          <w:sz w:val="20"/>
          <w:szCs w:val="20"/>
        </w:rPr>
        <w:t xml:space="preserve"> is for the transmitting device to puncture or rate-match around the LBT bandwidth pieces that are unavailable due to LBT failure.</w:t>
      </w:r>
      <w:r w:rsidR="00F611DA">
        <w:rPr>
          <w:rStyle w:val="IvDbodytextChar"/>
          <w:i w:val="0"/>
          <w:color w:val="auto"/>
          <w:sz w:val="20"/>
          <w:szCs w:val="20"/>
        </w:rPr>
        <w:t xml:space="preserve"> </w:t>
      </w:r>
      <w:r w:rsidR="0039158D">
        <w:rPr>
          <w:rStyle w:val="IvDbodytextChar"/>
          <w:i w:val="0"/>
          <w:color w:val="auto"/>
          <w:sz w:val="20"/>
          <w:szCs w:val="20"/>
        </w:rPr>
        <w:t>In the former, the PDSCH REs are simply not transmitted in those LBT bandwidth pieces, and the UE may simply set the soft values for the coded bits corresponding to those REs to zero prior to a decoding. In the latter, partial re-processing may be performed at the transmitting device, assuming sufficient processing capability. The partial re-processing is to re</w:t>
      </w:r>
      <w:r w:rsidR="00E9453F">
        <w:rPr>
          <w:rStyle w:val="IvDbodytextChar"/>
          <w:i w:val="0"/>
          <w:color w:val="auto"/>
          <w:sz w:val="20"/>
          <w:szCs w:val="20"/>
        </w:rPr>
        <w:t xml:space="preserve">-encode the TB at a higher rate accounting for the unavailable </w:t>
      </w:r>
      <w:proofErr w:type="spellStart"/>
      <w:r w:rsidR="00E9453F">
        <w:rPr>
          <w:rStyle w:val="IvDbodytextChar"/>
          <w:i w:val="0"/>
          <w:color w:val="auto"/>
          <w:sz w:val="20"/>
          <w:szCs w:val="20"/>
        </w:rPr>
        <w:t>REs.</w:t>
      </w:r>
      <w:proofErr w:type="spellEnd"/>
      <w:r w:rsidR="00E9453F">
        <w:rPr>
          <w:rStyle w:val="IvDbodytextChar"/>
          <w:i w:val="0"/>
          <w:color w:val="auto"/>
          <w:sz w:val="20"/>
          <w:szCs w:val="20"/>
        </w:rPr>
        <w:t xml:space="preserve"> Both approaches are undesirable and may cause reliability issues.</w:t>
      </w:r>
    </w:p>
    <w:p w14:paraId="53DF48CA" w14:textId="23CAA275" w:rsidR="0039158D" w:rsidRPr="00E9453F" w:rsidRDefault="00E9453F" w:rsidP="00E9453F">
      <w:pPr>
        <w:pStyle w:val="Observation"/>
        <w:ind w:left="1699" w:hanging="1699"/>
        <w:rPr>
          <w:rStyle w:val="IvDbodytextChar"/>
        </w:rPr>
      </w:pPr>
      <w:bookmarkStart w:id="20" w:name="_Toc525912120"/>
      <w:r w:rsidRPr="00E9453F">
        <w:rPr>
          <w:rStyle w:val="IvDbodytextChar"/>
        </w:rPr>
        <w:t xml:space="preserve">Puncturing/rate matching around LBT bandwidth pieces that fail LBT may cause </w:t>
      </w:r>
      <w:proofErr w:type="spellStart"/>
      <w:r w:rsidRPr="00E9453F">
        <w:rPr>
          <w:rStyle w:val="IvDbodytextChar"/>
        </w:rPr>
        <w:t>PxSCH</w:t>
      </w:r>
      <w:proofErr w:type="spellEnd"/>
      <w:r w:rsidRPr="00E9453F">
        <w:rPr>
          <w:rStyle w:val="IvDbodytextChar"/>
        </w:rPr>
        <w:t xml:space="preserve"> decoding failure</w:t>
      </w:r>
      <w:bookmarkEnd w:id="20"/>
    </w:p>
    <w:p w14:paraId="09ABA1FA" w14:textId="131956DC" w:rsidR="00DB14D1" w:rsidRDefault="00DB14D1" w:rsidP="00DB14D1">
      <w:pPr>
        <w:pStyle w:val="Heading3"/>
        <w:rPr>
          <w:lang w:eastAsia="en-US"/>
        </w:rPr>
      </w:pPr>
      <w:r>
        <w:rPr>
          <w:lang w:eastAsia="en-US"/>
        </w:rPr>
        <w:t>4.1.3</w:t>
      </w:r>
      <w:r>
        <w:rPr>
          <w:lang w:eastAsia="en-US"/>
        </w:rPr>
        <w:tab/>
        <w:t>Intra-BWP Guard Bands</w:t>
      </w:r>
    </w:p>
    <w:p w14:paraId="4E25F131" w14:textId="39876652" w:rsidR="002E2BD2" w:rsidRDefault="002E2BD2" w:rsidP="002E2BD2">
      <w:pPr>
        <w:pStyle w:val="BodyText"/>
      </w:pPr>
      <w:r>
        <w:t xml:space="preserve">As discussed further in </w:t>
      </w:r>
      <w:r>
        <w:fldChar w:fldCharType="begin"/>
      </w:r>
      <w:r>
        <w:instrText xml:space="preserve"> REF _Ref525666031 \r \h </w:instrText>
      </w:r>
      <w:r>
        <w:fldChar w:fldCharType="separate"/>
      </w:r>
      <w:r w:rsidR="00DA12B7">
        <w:t>[4]</w:t>
      </w:r>
      <w:r>
        <w:fldChar w:fldCharType="end"/>
      </w:r>
      <w:r>
        <w:t>, transmission only in the “free” LBT bandwidth pieces for Mode-2 can cause RF leakage into adjacent 20 MHz LBT bandwidth pieces that fail LBT</w:t>
      </w:r>
      <w:r w:rsidR="00EE479F">
        <w:t xml:space="preserve"> as illustrated in </w:t>
      </w:r>
      <w:r w:rsidR="00EE479F">
        <w:fldChar w:fldCharType="begin"/>
      </w:r>
      <w:r w:rsidR="00EE479F">
        <w:instrText xml:space="preserve"> REF _Ref525666109 \h </w:instrText>
      </w:r>
      <w:r w:rsidR="00EE479F">
        <w:fldChar w:fldCharType="separate"/>
      </w:r>
      <w:r w:rsidR="00EE479F" w:rsidRPr="003902CB">
        <w:rPr>
          <w:rFonts w:cs="Arial"/>
        </w:rPr>
        <w:t xml:space="preserve">Figure </w:t>
      </w:r>
      <w:r w:rsidR="00EE479F">
        <w:rPr>
          <w:rFonts w:cs="Arial"/>
          <w:noProof/>
        </w:rPr>
        <w:t>4</w:t>
      </w:r>
      <w:r w:rsidR="00EE479F">
        <w:fldChar w:fldCharType="end"/>
      </w:r>
      <w:r>
        <w:t xml:space="preserve">. </w:t>
      </w:r>
      <w:r w:rsidR="002521E3">
        <w:t xml:space="preserve">Leakage can also occur outside the BWP. </w:t>
      </w:r>
      <w:r>
        <w:t xml:space="preserve">Such leakage occurs also in the case of CA-based operation (Mode-1). However, in CA-based operation, guard bands are already defined in order to </w:t>
      </w:r>
      <w:r w:rsidR="00A961B7">
        <w:t xml:space="preserve">control cumulative ACLR for gaps between CCs as in LTE-LAA </w:t>
      </w:r>
      <w:r w:rsidR="00A961B7">
        <w:fldChar w:fldCharType="begin"/>
      </w:r>
      <w:r w:rsidR="00A961B7">
        <w:instrText xml:space="preserve"> REF _Ref525666430 \r \h </w:instrText>
      </w:r>
      <w:r w:rsidR="00A961B7">
        <w:fldChar w:fldCharType="separate"/>
      </w:r>
      <w:r w:rsidR="00DA12B7">
        <w:t>[5]</w:t>
      </w:r>
      <w:r w:rsidR="00A961B7">
        <w:fldChar w:fldCharType="end"/>
      </w:r>
      <w:r w:rsidR="004843BD">
        <w:t xml:space="preserve"> (Section 6.6.2.2)</w:t>
      </w:r>
      <w:r w:rsidR="002521E3">
        <w:t>.</w:t>
      </w:r>
      <w:r w:rsidR="00A961B7">
        <w:t xml:space="preserve"> For Mode-2, however, there is no notion of an in-channel guard band for intra-BWP gaps due to LBT failure. Our understanding is that </w:t>
      </w:r>
      <w:r w:rsidR="004843BD">
        <w:t xml:space="preserve">defining such guard bands </w:t>
      </w:r>
      <w:r w:rsidR="00A961B7">
        <w:t>will require significant new RAN4 specification effort.</w:t>
      </w:r>
      <w:r w:rsidR="004843BD">
        <w:t xml:space="preserve"> Furthermore, RAN1 will need to consider puncturing/rate matching around the guard bands.</w:t>
      </w:r>
    </w:p>
    <w:p w14:paraId="0B2F8223" w14:textId="2968E348" w:rsidR="00A961B7" w:rsidRDefault="00A961B7" w:rsidP="00A961B7">
      <w:pPr>
        <w:pStyle w:val="Observation"/>
      </w:pPr>
      <w:bookmarkStart w:id="21" w:name="_Toc525912121"/>
      <w:r>
        <w:t>Introduction of intra-BWP guard bands to control adjacent channel leakage into LBT bandwidth pieces that fail LBT may require significant RAN4 specification effort</w:t>
      </w:r>
      <w:bookmarkEnd w:id="21"/>
      <w:r>
        <w:t xml:space="preserve"> </w:t>
      </w:r>
    </w:p>
    <w:p w14:paraId="2A4ADF45" w14:textId="3B681070" w:rsidR="00A961B7" w:rsidRPr="00397A17" w:rsidRDefault="00A961B7" w:rsidP="00A961B7">
      <w:pPr>
        <w:pStyle w:val="BodyText"/>
        <w:rPr>
          <w:rStyle w:val="BodyTextChar"/>
        </w:rPr>
      </w:pPr>
      <w:r w:rsidRPr="00397A17">
        <w:rPr>
          <w:rStyle w:val="BodyTextChar"/>
        </w:rPr>
        <w:t xml:space="preserve">Based on this discussion we propose to send an LS to RAN4 requesting whether or not intra-BWP guard bands </w:t>
      </w:r>
      <w:r w:rsidR="002521E3">
        <w:rPr>
          <w:rStyle w:val="BodyTextChar"/>
        </w:rPr>
        <w:t xml:space="preserve">and edge guard bands </w:t>
      </w:r>
      <w:r w:rsidRPr="00397A17">
        <w:rPr>
          <w:rStyle w:val="BodyTextChar"/>
        </w:rPr>
        <w:t xml:space="preserve">are needed and if so, the feasibility of developing adjacent channel leakage requirements </w:t>
      </w:r>
      <w:r w:rsidR="002521E3">
        <w:rPr>
          <w:rStyle w:val="BodyTextChar"/>
        </w:rPr>
        <w:t>for</w:t>
      </w:r>
      <w:r w:rsidRPr="00397A17">
        <w:rPr>
          <w:rStyle w:val="BodyTextChar"/>
        </w:rPr>
        <w:t xml:space="preserve"> BWP</w:t>
      </w:r>
      <w:r w:rsidR="002521E3">
        <w:rPr>
          <w:rStyle w:val="BodyTextChar"/>
        </w:rPr>
        <w:t>s</w:t>
      </w:r>
      <w:r w:rsidRPr="00397A17">
        <w:rPr>
          <w:rStyle w:val="BodyTextChar"/>
        </w:rPr>
        <w:t>.</w:t>
      </w:r>
      <w:r>
        <w:rPr>
          <w:rStyle w:val="BodyTextChar"/>
        </w:rPr>
        <w:t xml:space="preserve"> A draft LS is included in</w:t>
      </w:r>
      <w:r w:rsidR="004843BD">
        <w:rPr>
          <w:rStyle w:val="BodyTextChar"/>
        </w:rPr>
        <w:t xml:space="preserve"> </w:t>
      </w:r>
      <w:r w:rsidR="004843BD">
        <w:rPr>
          <w:rStyle w:val="BodyTextChar"/>
        </w:rPr>
        <w:fldChar w:fldCharType="begin"/>
      </w:r>
      <w:r w:rsidR="004843BD">
        <w:rPr>
          <w:rStyle w:val="BodyTextChar"/>
        </w:rPr>
        <w:instrText xml:space="preserve"> REF _Ref525666947 \r \h </w:instrText>
      </w:r>
      <w:r w:rsidR="004843BD">
        <w:rPr>
          <w:rStyle w:val="BodyTextChar"/>
        </w:rPr>
      </w:r>
      <w:r w:rsidR="004843BD">
        <w:rPr>
          <w:rStyle w:val="BodyTextChar"/>
        </w:rPr>
        <w:fldChar w:fldCharType="separate"/>
      </w:r>
      <w:r w:rsidR="00DA12B7">
        <w:rPr>
          <w:rStyle w:val="BodyTextChar"/>
        </w:rPr>
        <w:t>[6]</w:t>
      </w:r>
      <w:r w:rsidR="004843BD">
        <w:rPr>
          <w:rStyle w:val="BodyTextChar"/>
        </w:rPr>
        <w:fldChar w:fldCharType="end"/>
      </w:r>
      <w:r>
        <w:rPr>
          <w:rStyle w:val="BodyTextChar"/>
        </w:rPr>
        <w:t>.</w:t>
      </w:r>
    </w:p>
    <w:p w14:paraId="37E40C63" w14:textId="46159B90" w:rsidR="00A961B7" w:rsidRDefault="00A961B7" w:rsidP="00A961B7">
      <w:pPr>
        <w:pStyle w:val="Proposal"/>
      </w:pPr>
      <w:bookmarkStart w:id="22" w:name="_Toc525638713"/>
      <w:bookmarkStart w:id="23" w:name="_Toc525913253"/>
      <w:r>
        <w:t>Send an LS to RAN4 requesting whether or not intra-BWP guard bands</w:t>
      </w:r>
      <w:r w:rsidR="002521E3">
        <w:t xml:space="preserve"> and BWP edge guard bands</w:t>
      </w:r>
      <w:r>
        <w:t xml:space="preserve"> are needed for wideband carrier operation where a BWP spans multiple LBT bandwidth pieces.</w:t>
      </w:r>
      <w:bookmarkEnd w:id="22"/>
      <w:r w:rsidR="00EE479F">
        <w:t xml:space="preserve"> A draft LS in included in </w:t>
      </w:r>
      <w:r w:rsidR="00EE479F">
        <w:rPr>
          <w:rStyle w:val="BodyTextChar"/>
        </w:rPr>
        <w:fldChar w:fldCharType="begin"/>
      </w:r>
      <w:r w:rsidR="00EE479F">
        <w:rPr>
          <w:rStyle w:val="BodyTextChar"/>
        </w:rPr>
        <w:instrText xml:space="preserve"> REF _Ref525666947 \r \h </w:instrText>
      </w:r>
      <w:r w:rsidR="00EE479F">
        <w:rPr>
          <w:rStyle w:val="BodyTextChar"/>
        </w:rPr>
      </w:r>
      <w:r w:rsidR="00EE479F">
        <w:rPr>
          <w:rStyle w:val="BodyTextChar"/>
        </w:rPr>
        <w:fldChar w:fldCharType="separate"/>
      </w:r>
      <w:r w:rsidR="00EE479F">
        <w:rPr>
          <w:rStyle w:val="BodyTextChar"/>
        </w:rPr>
        <w:t>[6]</w:t>
      </w:r>
      <w:r w:rsidR="00EE479F">
        <w:rPr>
          <w:rStyle w:val="BodyTextChar"/>
        </w:rPr>
        <w:fldChar w:fldCharType="end"/>
      </w:r>
      <w:r w:rsidR="00EE479F">
        <w:rPr>
          <w:rStyle w:val="BodyTextChar"/>
        </w:rPr>
        <w:t>.</w:t>
      </w:r>
      <w:bookmarkEnd w:id="23"/>
    </w:p>
    <w:p w14:paraId="12CE44C7" w14:textId="77777777" w:rsidR="002E2BD2" w:rsidRPr="002E2BD2" w:rsidRDefault="002E2BD2" w:rsidP="002E2BD2">
      <w:pPr>
        <w:pStyle w:val="BodyText"/>
      </w:pPr>
    </w:p>
    <w:p w14:paraId="47E30EEB" w14:textId="6B07CB72" w:rsidR="002E2BD2" w:rsidRDefault="002521E3" w:rsidP="002E2BD2">
      <w:pPr>
        <w:keepNext/>
        <w:jc w:val="center"/>
      </w:pPr>
      <w:r>
        <w:rPr>
          <w:noProof/>
        </w:rPr>
        <w:drawing>
          <wp:inline distT="0" distB="0" distL="0" distR="0" wp14:anchorId="3419AA3C" wp14:editId="2514D452">
            <wp:extent cx="4572000" cy="28986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898648"/>
                    </a:xfrm>
                    <a:prstGeom prst="rect">
                      <a:avLst/>
                    </a:prstGeom>
                    <a:noFill/>
                  </pic:spPr>
                </pic:pic>
              </a:graphicData>
            </a:graphic>
          </wp:inline>
        </w:drawing>
      </w:r>
    </w:p>
    <w:p w14:paraId="7C39896F" w14:textId="4B75C127" w:rsidR="00A961B7" w:rsidRPr="004843BD" w:rsidRDefault="002E2BD2" w:rsidP="004843BD">
      <w:pPr>
        <w:pStyle w:val="Caption"/>
        <w:jc w:val="center"/>
        <w:rPr>
          <w:rFonts w:ascii="Arial" w:hAnsi="Arial" w:cs="Arial"/>
        </w:rPr>
      </w:pPr>
      <w:bookmarkStart w:id="24" w:name="_Ref525666109"/>
      <w:r w:rsidRPr="003902CB">
        <w:rPr>
          <w:rFonts w:ascii="Arial" w:hAnsi="Arial" w:cs="Arial"/>
        </w:rPr>
        <w:t xml:space="preserve">Figure </w:t>
      </w:r>
      <w:r w:rsidRPr="003902CB">
        <w:rPr>
          <w:rFonts w:ascii="Arial" w:hAnsi="Arial" w:cs="Arial"/>
        </w:rPr>
        <w:fldChar w:fldCharType="begin"/>
      </w:r>
      <w:r w:rsidRPr="003902CB">
        <w:rPr>
          <w:rFonts w:ascii="Arial" w:hAnsi="Arial" w:cs="Arial"/>
        </w:rPr>
        <w:instrText xml:space="preserve"> SEQ Figure \* ARABIC </w:instrText>
      </w:r>
      <w:r w:rsidRPr="003902CB">
        <w:rPr>
          <w:rFonts w:ascii="Arial" w:hAnsi="Arial" w:cs="Arial"/>
        </w:rPr>
        <w:fldChar w:fldCharType="separate"/>
      </w:r>
      <w:r w:rsidR="00EE479F">
        <w:rPr>
          <w:rFonts w:ascii="Arial" w:hAnsi="Arial" w:cs="Arial"/>
          <w:noProof/>
        </w:rPr>
        <w:t>4</w:t>
      </w:r>
      <w:r w:rsidRPr="003902CB">
        <w:rPr>
          <w:rFonts w:ascii="Arial" w:hAnsi="Arial" w:cs="Arial"/>
        </w:rPr>
        <w:fldChar w:fldCharType="end"/>
      </w:r>
      <w:bookmarkEnd w:id="24"/>
      <w:r w:rsidRPr="003902CB">
        <w:rPr>
          <w:rFonts w:ascii="Arial" w:hAnsi="Arial" w:cs="Arial"/>
        </w:rPr>
        <w:t>: Single wideband carrier operation for NR-U</w:t>
      </w:r>
      <w:r>
        <w:rPr>
          <w:rFonts w:ascii="Arial" w:hAnsi="Arial" w:cs="Arial"/>
        </w:rPr>
        <w:t xml:space="preserve"> with LBT performed on a 20 MHz basis in each “LBT bandwidth piece.” In this example, LBT fails in 1 out of the 4 LBT bandwidth pieces.</w:t>
      </w:r>
    </w:p>
    <w:p w14:paraId="43F60FEB" w14:textId="12309DAC" w:rsidR="00E7639D" w:rsidRDefault="00E7639D" w:rsidP="00E7639D">
      <w:pPr>
        <w:pStyle w:val="Heading2"/>
      </w:pPr>
      <w:r>
        <w:t>4.2</w:t>
      </w:r>
      <w:r>
        <w:tab/>
        <w:t>Wideband LBT</w:t>
      </w:r>
    </w:p>
    <w:p w14:paraId="646C62AF" w14:textId="6F2A02BA" w:rsidR="00075E48" w:rsidRDefault="004843BD" w:rsidP="00D829E9">
      <w:pPr>
        <w:pStyle w:val="BodyText"/>
      </w:pPr>
      <w:r>
        <w:t>As mentioned previously,</w:t>
      </w:r>
      <w:r w:rsidRPr="004843BD">
        <w:t xml:space="preserve"> </w:t>
      </w:r>
      <w:r>
        <w:t>for wideband LBT</w:t>
      </w:r>
      <w:r w:rsidR="00075E48">
        <w:t>,</w:t>
      </w:r>
      <w:r>
        <w:t xml:space="preserve"> the channel is </w:t>
      </w:r>
      <w:r w:rsidR="00075E48">
        <w:t>s</w:t>
      </w:r>
      <w:r>
        <w:t xml:space="preserve">ensed over the entire BWP. Based on this, transmission occurs over the entire BWP if LBT is successful, or not at all if LBT fails. </w:t>
      </w:r>
      <w:r w:rsidR="00C27789">
        <w:t xml:space="preserve">In contrast to sub-band </w:t>
      </w:r>
      <w:r w:rsidR="00C27789">
        <w:lastRenderedPageBreak/>
        <w:t xml:space="preserve">LBT, </w:t>
      </w:r>
      <w:r w:rsidR="00075E48">
        <w:t xml:space="preserve">wideband LBT avoids the </w:t>
      </w:r>
      <w:r>
        <w:t xml:space="preserve">puncturing/rate matching issues and the </w:t>
      </w:r>
      <w:r w:rsidR="002521E3">
        <w:t xml:space="preserve">intra-BWP </w:t>
      </w:r>
      <w:r>
        <w:t>guard band issues mentioned in the prior two sections</w:t>
      </w:r>
      <w:r w:rsidR="002521E3">
        <w:t>. We note that BWP-edge guard bands may still be needed to control leakage outside a BWP. With wideband LBT</w:t>
      </w:r>
      <w:r w:rsidR="00075E48">
        <w:t>, many RAN1 and RAN4 specification changes</w:t>
      </w:r>
      <w:r w:rsidR="002521E3">
        <w:t xml:space="preserve"> would be avoided</w:t>
      </w:r>
      <w:r w:rsidR="00075E48">
        <w:t xml:space="preserve">. We point out that </w:t>
      </w:r>
      <w:r w:rsidR="00462880">
        <w:t xml:space="preserve">support of sub-band LBT </w:t>
      </w:r>
      <w:r w:rsidR="00075E48">
        <w:t>would end up making single-wideband carrier transmission very similar to CA-based operation anyway. It seems entirely unnecessary to re-invent the wheel. Based on this, we propose the following</w:t>
      </w:r>
    </w:p>
    <w:p w14:paraId="344FBB15" w14:textId="651DD0DC" w:rsidR="00075E48" w:rsidRDefault="00075E48" w:rsidP="00075E48">
      <w:pPr>
        <w:pStyle w:val="Proposal"/>
      </w:pPr>
      <w:bookmarkStart w:id="25" w:name="_Toc525913254"/>
      <w:r>
        <w:t xml:space="preserve">NR-U supports CA-based wideband carrier operation </w:t>
      </w:r>
      <w:r w:rsidR="00F75255">
        <w:t xml:space="preserve">(Mode-1) </w:t>
      </w:r>
      <w:r>
        <w:t>with carrier bandwidth equal to the LBT bandwidth.</w:t>
      </w:r>
      <w:bookmarkEnd w:id="25"/>
    </w:p>
    <w:p w14:paraId="01F3E658" w14:textId="60EF3659" w:rsidR="00075E48" w:rsidRDefault="00075E48" w:rsidP="00075E48">
      <w:pPr>
        <w:pStyle w:val="Proposal"/>
      </w:pPr>
      <w:bookmarkStart w:id="26" w:name="_Toc525913255"/>
      <w:r>
        <w:t xml:space="preserve">NR-U supports single wideband carrier operation </w:t>
      </w:r>
      <w:r w:rsidR="00F75255">
        <w:t xml:space="preserve">(Mode-2) </w:t>
      </w:r>
      <w:r>
        <w:t>with wideband LBT only, and not sub-band LBT.</w:t>
      </w:r>
      <w:bookmarkEnd w:id="26"/>
    </w:p>
    <w:p w14:paraId="0B5B7125" w14:textId="0DE6914C" w:rsidR="00880ACE" w:rsidRPr="00341F16" w:rsidRDefault="00E7639D" w:rsidP="00E7639D">
      <w:pPr>
        <w:pStyle w:val="Heading2"/>
      </w:pPr>
      <w:bookmarkStart w:id="27" w:name="_Toc513643344"/>
      <w:bookmarkEnd w:id="27"/>
      <w:r w:rsidRPr="00341F16">
        <w:t>4.3</w:t>
      </w:r>
      <w:r w:rsidRPr="00341F16">
        <w:tab/>
      </w:r>
      <w:r w:rsidR="00880ACE" w:rsidRPr="00341F16">
        <w:t>Active Bandwidth Parts</w:t>
      </w:r>
    </w:p>
    <w:p w14:paraId="4E105AE7" w14:textId="317F17F1" w:rsidR="00880ACE" w:rsidRDefault="00880ACE" w:rsidP="00880ACE">
      <w:pPr>
        <w:jc w:val="both"/>
        <w:rPr>
          <w:rFonts w:asciiTheme="minorBidi" w:hAnsiTheme="minorBidi" w:cstheme="minorBidi"/>
          <w:lang w:val="en-US" w:eastAsia="zh-CN"/>
        </w:rPr>
      </w:pPr>
      <w:r w:rsidRPr="00416400">
        <w:rPr>
          <w:rFonts w:asciiTheme="minorBidi" w:hAnsiTheme="minorBidi" w:cstheme="minorBidi"/>
          <w:lang w:val="en-US" w:eastAsia="zh-CN"/>
        </w:rPr>
        <w:t xml:space="preserve">In </w:t>
      </w:r>
      <w:r w:rsidR="00CE3BD9">
        <w:rPr>
          <w:rFonts w:asciiTheme="minorBidi" w:hAnsiTheme="minorBidi" w:cstheme="minorBidi"/>
          <w:lang w:val="en-US" w:eastAsia="zh-CN"/>
        </w:rPr>
        <w:t xml:space="preserve">NR </w:t>
      </w:r>
      <w:r w:rsidRPr="00416400">
        <w:rPr>
          <w:rFonts w:asciiTheme="minorBidi" w:hAnsiTheme="minorBidi" w:cstheme="minorBidi"/>
          <w:lang w:val="en-US" w:eastAsia="zh-CN"/>
        </w:rPr>
        <w:t>Rel-15</w:t>
      </w:r>
      <w:r w:rsidR="00341F16">
        <w:rPr>
          <w:rFonts w:asciiTheme="minorBidi" w:hAnsiTheme="minorBidi" w:cstheme="minorBidi"/>
          <w:lang w:val="en-US" w:eastAsia="zh-CN"/>
        </w:rPr>
        <w:t>,</w:t>
      </w:r>
      <w:r w:rsidRPr="00416400">
        <w:rPr>
          <w:rFonts w:asciiTheme="minorBidi" w:hAnsiTheme="minorBidi" w:cstheme="minorBidi"/>
          <w:lang w:val="en-US" w:eastAsia="zh-CN"/>
        </w:rPr>
        <w:t xml:space="preserve"> </w:t>
      </w:r>
      <w:r w:rsidR="00CE3BD9">
        <w:rPr>
          <w:rFonts w:asciiTheme="minorBidi" w:hAnsiTheme="minorBidi" w:cstheme="minorBidi"/>
          <w:lang w:val="en-US" w:eastAsia="zh-CN"/>
        </w:rPr>
        <w:t>a UE</w:t>
      </w:r>
      <w:r w:rsidRPr="00416400">
        <w:rPr>
          <w:rFonts w:asciiTheme="minorBidi" w:hAnsiTheme="minorBidi" w:cstheme="minorBidi"/>
          <w:lang w:val="en-US" w:eastAsia="zh-CN"/>
        </w:rPr>
        <w:t xml:space="preserve"> can be </w:t>
      </w:r>
      <w:r w:rsidR="0034108E">
        <w:rPr>
          <w:rFonts w:asciiTheme="minorBidi" w:hAnsiTheme="minorBidi" w:cstheme="minorBidi"/>
          <w:lang w:val="en-US" w:eastAsia="zh-CN"/>
        </w:rPr>
        <w:t>pre-</w:t>
      </w:r>
      <w:r w:rsidRPr="00416400">
        <w:rPr>
          <w:rFonts w:asciiTheme="minorBidi" w:hAnsiTheme="minorBidi" w:cstheme="minorBidi"/>
          <w:lang w:val="en-US" w:eastAsia="zh-CN"/>
        </w:rPr>
        <w:t>configured with multiple BWP</w:t>
      </w:r>
      <w:r w:rsidR="00CE3BD9">
        <w:rPr>
          <w:rFonts w:asciiTheme="minorBidi" w:hAnsiTheme="minorBidi" w:cstheme="minorBidi"/>
          <w:lang w:val="en-US" w:eastAsia="zh-CN"/>
        </w:rPr>
        <w:t>s, and t</w:t>
      </w:r>
      <w:r w:rsidR="001747B9">
        <w:rPr>
          <w:rFonts w:asciiTheme="minorBidi" w:hAnsiTheme="minorBidi" w:cstheme="minorBidi"/>
          <w:lang w:val="en-US" w:eastAsia="zh-CN"/>
        </w:rPr>
        <w:t xml:space="preserve">he </w:t>
      </w:r>
      <w:r w:rsidR="0034108E">
        <w:rPr>
          <w:rFonts w:asciiTheme="minorBidi" w:hAnsiTheme="minorBidi" w:cstheme="minorBidi"/>
          <w:lang w:val="en-US" w:eastAsia="zh-CN"/>
        </w:rPr>
        <w:t xml:space="preserve">active BWP can be switched </w:t>
      </w:r>
      <w:r w:rsidRPr="00416400">
        <w:rPr>
          <w:rFonts w:asciiTheme="minorBidi" w:hAnsiTheme="minorBidi" w:cstheme="minorBidi"/>
          <w:lang w:val="en-US" w:eastAsia="zh-CN"/>
        </w:rPr>
        <w:t xml:space="preserve">dynamically </w:t>
      </w:r>
      <w:r w:rsidR="0034108E">
        <w:rPr>
          <w:rFonts w:asciiTheme="minorBidi" w:hAnsiTheme="minorBidi" w:cstheme="minorBidi"/>
          <w:lang w:val="en-US" w:eastAsia="zh-CN"/>
        </w:rPr>
        <w:t xml:space="preserve">amongst </w:t>
      </w:r>
      <w:r w:rsidR="00CE3BD9">
        <w:rPr>
          <w:rFonts w:asciiTheme="minorBidi" w:hAnsiTheme="minorBidi" w:cstheme="minorBidi"/>
          <w:lang w:val="en-US" w:eastAsia="zh-CN"/>
        </w:rPr>
        <w:t>them</w:t>
      </w:r>
      <w:r w:rsidR="0034108E">
        <w:rPr>
          <w:rFonts w:asciiTheme="minorBidi" w:hAnsiTheme="minorBidi" w:cstheme="minorBidi"/>
          <w:lang w:val="en-US" w:eastAsia="zh-CN"/>
        </w:rPr>
        <w:t>.</w:t>
      </w:r>
      <w:r w:rsidR="00CE3BD9">
        <w:rPr>
          <w:rFonts w:asciiTheme="minorBidi" w:hAnsiTheme="minorBidi" w:cstheme="minorBidi"/>
          <w:lang w:val="en-US" w:eastAsia="zh-CN"/>
        </w:rPr>
        <w:t xml:space="preserve"> However, at any given time, a UE is limited to only a single active BWP. </w:t>
      </w:r>
      <w:r w:rsidRPr="004627E2">
        <w:rPr>
          <w:rFonts w:asciiTheme="minorBidi" w:hAnsiTheme="minorBidi" w:cstheme="minorBidi"/>
          <w:lang w:val="en-US" w:eastAsia="zh-CN"/>
        </w:rPr>
        <w:t xml:space="preserve">BWP switching </w:t>
      </w:r>
      <w:r w:rsidR="001747B9">
        <w:rPr>
          <w:rFonts w:asciiTheme="minorBidi" w:hAnsiTheme="minorBidi" w:cstheme="minorBidi"/>
          <w:lang w:val="en-US" w:eastAsia="zh-CN"/>
        </w:rPr>
        <w:t>can be</w:t>
      </w:r>
      <w:r w:rsidRPr="004627E2">
        <w:rPr>
          <w:rFonts w:asciiTheme="minorBidi" w:hAnsiTheme="minorBidi" w:cstheme="minorBidi"/>
          <w:lang w:val="en-US" w:eastAsia="zh-CN"/>
        </w:rPr>
        <w:t xml:space="preserve"> controlled by </w:t>
      </w:r>
      <w:r w:rsidR="001747B9">
        <w:rPr>
          <w:rFonts w:asciiTheme="minorBidi" w:hAnsiTheme="minorBidi" w:cstheme="minorBidi"/>
          <w:lang w:val="en-US" w:eastAsia="zh-CN"/>
        </w:rPr>
        <w:t>several means: by DCI</w:t>
      </w:r>
      <w:r w:rsidRPr="004627E2">
        <w:rPr>
          <w:rFonts w:asciiTheme="minorBidi" w:hAnsiTheme="minorBidi" w:cstheme="minorBidi"/>
          <w:lang w:val="en-US" w:eastAsia="zh-CN"/>
        </w:rPr>
        <w:t xml:space="preserve"> indicating a downlink assignment</w:t>
      </w:r>
      <w:r w:rsidR="001747B9">
        <w:rPr>
          <w:rFonts w:asciiTheme="minorBidi" w:hAnsiTheme="minorBidi" w:cstheme="minorBidi"/>
          <w:lang w:val="en-US" w:eastAsia="zh-CN"/>
        </w:rPr>
        <w:t>/</w:t>
      </w:r>
      <w:r w:rsidRPr="004627E2">
        <w:rPr>
          <w:rFonts w:asciiTheme="minorBidi" w:hAnsiTheme="minorBidi" w:cstheme="minorBidi"/>
          <w:lang w:val="en-US" w:eastAsia="zh-CN"/>
        </w:rPr>
        <w:t xml:space="preserve">uplink grant, by the </w:t>
      </w:r>
      <w:proofErr w:type="spellStart"/>
      <w:r w:rsidRPr="004627E2">
        <w:rPr>
          <w:rFonts w:asciiTheme="minorBidi" w:hAnsiTheme="minorBidi" w:cstheme="minorBidi"/>
          <w:lang w:val="en-US" w:eastAsia="zh-CN"/>
        </w:rPr>
        <w:t>bwp-InactivityTimer</w:t>
      </w:r>
      <w:proofErr w:type="spellEnd"/>
      <w:r w:rsidRPr="004627E2">
        <w:rPr>
          <w:rFonts w:asciiTheme="minorBidi" w:hAnsiTheme="minorBidi" w:cstheme="minorBidi"/>
          <w:lang w:val="en-US" w:eastAsia="zh-CN"/>
        </w:rPr>
        <w:t xml:space="preserve">, by RRC </w:t>
      </w:r>
      <w:proofErr w:type="spellStart"/>
      <w:r w:rsidRPr="004627E2">
        <w:rPr>
          <w:rFonts w:asciiTheme="minorBidi" w:hAnsiTheme="minorBidi" w:cstheme="minorBidi"/>
          <w:lang w:val="en-US" w:eastAsia="zh-CN"/>
        </w:rPr>
        <w:t>signalling</w:t>
      </w:r>
      <w:proofErr w:type="spellEnd"/>
      <w:r w:rsidRPr="004627E2">
        <w:rPr>
          <w:rFonts w:asciiTheme="minorBidi" w:hAnsiTheme="minorBidi" w:cstheme="minorBidi"/>
          <w:lang w:val="en-US" w:eastAsia="zh-CN"/>
        </w:rPr>
        <w:t>, or by the MAC entity itself upon initiation of Random Access procedure.</w:t>
      </w:r>
      <w:r w:rsidR="001747B9" w:rsidRPr="001747B9">
        <w:rPr>
          <w:rFonts w:asciiTheme="minorBidi" w:hAnsiTheme="minorBidi" w:cstheme="minorBidi"/>
          <w:lang w:val="en-US" w:eastAsia="zh-CN"/>
        </w:rPr>
        <w:t xml:space="preserve"> </w:t>
      </w:r>
      <w:r w:rsidR="001747B9">
        <w:rPr>
          <w:rFonts w:asciiTheme="minorBidi" w:hAnsiTheme="minorBidi" w:cstheme="minorBidi"/>
          <w:lang w:val="en-US" w:eastAsia="zh-CN"/>
        </w:rPr>
        <w:t>Some companies propose that support for multiple active BWPs should be added for NR-U. In principle, this</w:t>
      </w:r>
      <w:r>
        <w:rPr>
          <w:rFonts w:asciiTheme="minorBidi" w:hAnsiTheme="minorBidi" w:cstheme="minorBidi"/>
          <w:lang w:val="en-US" w:eastAsia="zh-CN"/>
        </w:rPr>
        <w:t xml:space="preserve"> is not much different from carrier aggregation, </w:t>
      </w:r>
      <w:r w:rsidR="001747B9">
        <w:rPr>
          <w:rFonts w:asciiTheme="minorBidi" w:hAnsiTheme="minorBidi" w:cstheme="minorBidi"/>
          <w:lang w:val="en-US" w:eastAsia="zh-CN"/>
        </w:rPr>
        <w:t>except</w:t>
      </w:r>
      <w:r>
        <w:rPr>
          <w:rFonts w:asciiTheme="minorBidi" w:hAnsiTheme="minorBidi" w:cstheme="minorBidi"/>
          <w:lang w:val="en-US" w:eastAsia="zh-CN"/>
        </w:rPr>
        <w:t xml:space="preserve"> it adds extra complications and overhead for the L1 signaling. If the intention is to configure </w:t>
      </w:r>
      <w:r w:rsidR="001747B9">
        <w:rPr>
          <w:rFonts w:asciiTheme="minorBidi" w:hAnsiTheme="minorBidi" w:cstheme="minorBidi"/>
          <w:lang w:val="en-US" w:eastAsia="zh-CN"/>
        </w:rPr>
        <w:t xml:space="preserve">the </w:t>
      </w:r>
      <w:r>
        <w:rPr>
          <w:rFonts w:asciiTheme="minorBidi" w:hAnsiTheme="minorBidi" w:cstheme="minorBidi"/>
          <w:lang w:val="en-US" w:eastAsia="zh-CN"/>
        </w:rPr>
        <w:t xml:space="preserve">BWP </w:t>
      </w:r>
      <w:r w:rsidR="001747B9">
        <w:rPr>
          <w:rFonts w:asciiTheme="minorBidi" w:hAnsiTheme="minorBidi" w:cstheme="minorBidi"/>
          <w:lang w:val="en-US" w:eastAsia="zh-CN"/>
        </w:rPr>
        <w:t xml:space="preserve">bandwidth to be equal to the LBT bandwidth such that an </w:t>
      </w:r>
      <w:r>
        <w:rPr>
          <w:rFonts w:asciiTheme="minorBidi" w:hAnsiTheme="minorBidi" w:cstheme="minorBidi"/>
          <w:lang w:val="en-US" w:eastAsia="zh-CN"/>
        </w:rPr>
        <w:t xml:space="preserve">LBT failure on one </w:t>
      </w:r>
      <w:r w:rsidR="001747B9">
        <w:rPr>
          <w:rFonts w:asciiTheme="minorBidi" w:hAnsiTheme="minorBidi" w:cstheme="minorBidi"/>
          <w:lang w:val="en-US" w:eastAsia="zh-CN"/>
        </w:rPr>
        <w:t>BWP</w:t>
      </w:r>
      <w:r>
        <w:rPr>
          <w:rFonts w:asciiTheme="minorBidi" w:hAnsiTheme="minorBidi" w:cstheme="minorBidi"/>
          <w:lang w:val="en-US" w:eastAsia="zh-CN"/>
        </w:rPr>
        <w:t xml:space="preserve"> does not impact the reliability of the transmission on another </w:t>
      </w:r>
      <w:r w:rsidR="001747B9">
        <w:rPr>
          <w:rFonts w:asciiTheme="minorBidi" w:hAnsiTheme="minorBidi" w:cstheme="minorBidi"/>
          <w:lang w:val="en-US" w:eastAsia="zh-CN"/>
        </w:rPr>
        <w:t>BWP</w:t>
      </w:r>
      <w:r>
        <w:rPr>
          <w:rFonts w:asciiTheme="minorBidi" w:hAnsiTheme="minorBidi" w:cstheme="minorBidi"/>
          <w:lang w:val="en-US" w:eastAsia="zh-CN"/>
        </w:rPr>
        <w:t>, then the lat</w:t>
      </w:r>
      <w:r w:rsidR="001747B9">
        <w:rPr>
          <w:rFonts w:asciiTheme="minorBidi" w:hAnsiTheme="minorBidi" w:cstheme="minorBidi"/>
          <w:lang w:val="en-US" w:eastAsia="zh-CN"/>
        </w:rPr>
        <w:t>t</w:t>
      </w:r>
      <w:r>
        <w:rPr>
          <w:rFonts w:asciiTheme="minorBidi" w:hAnsiTheme="minorBidi" w:cstheme="minorBidi"/>
          <w:lang w:val="en-US" w:eastAsia="zh-CN"/>
        </w:rPr>
        <w:t xml:space="preserve">er can be </w:t>
      </w:r>
      <w:r w:rsidR="001747B9">
        <w:rPr>
          <w:rFonts w:asciiTheme="minorBidi" w:hAnsiTheme="minorBidi" w:cstheme="minorBidi"/>
          <w:lang w:val="en-US" w:eastAsia="zh-CN"/>
        </w:rPr>
        <w:t xml:space="preserve">more easily </w:t>
      </w:r>
      <w:r>
        <w:rPr>
          <w:rFonts w:asciiTheme="minorBidi" w:hAnsiTheme="minorBidi" w:cstheme="minorBidi"/>
          <w:lang w:val="en-US" w:eastAsia="zh-CN"/>
        </w:rPr>
        <w:t xml:space="preserve">achieved with </w:t>
      </w:r>
      <w:r w:rsidR="001747B9">
        <w:rPr>
          <w:rFonts w:asciiTheme="minorBidi" w:hAnsiTheme="minorBidi" w:cstheme="minorBidi"/>
          <w:lang w:val="en-US" w:eastAsia="zh-CN"/>
        </w:rPr>
        <w:t>CA-based operation without additional spec impact</w:t>
      </w:r>
      <w:r>
        <w:rPr>
          <w:rFonts w:asciiTheme="minorBidi" w:hAnsiTheme="minorBidi" w:cstheme="minorBidi"/>
          <w:lang w:val="en-US" w:eastAsia="zh-CN"/>
        </w:rPr>
        <w:t xml:space="preserve">. </w:t>
      </w:r>
    </w:p>
    <w:p w14:paraId="647C2E2D" w14:textId="180ED41E" w:rsidR="00880ACE" w:rsidRPr="00416400" w:rsidRDefault="00880ACE" w:rsidP="00880ACE">
      <w:pPr>
        <w:pStyle w:val="Proposal"/>
        <w:tabs>
          <w:tab w:val="num" w:pos="1304"/>
        </w:tabs>
        <w:ind w:left="1304" w:hanging="1304"/>
        <w:rPr>
          <w:lang w:val="en-US"/>
        </w:rPr>
      </w:pPr>
      <w:bookmarkStart w:id="28" w:name="_Toc525913256"/>
      <w:r>
        <w:rPr>
          <w:lang w:val="en-US"/>
        </w:rPr>
        <w:t>Multiple active BWP</w:t>
      </w:r>
      <w:r w:rsidR="0059049B">
        <w:rPr>
          <w:lang w:val="en-US"/>
        </w:rPr>
        <w:t>s</w:t>
      </w:r>
      <w:r>
        <w:rPr>
          <w:lang w:val="en-US"/>
        </w:rPr>
        <w:t xml:space="preserve"> </w:t>
      </w:r>
      <w:r w:rsidR="0059049B">
        <w:rPr>
          <w:lang w:val="en-US"/>
        </w:rPr>
        <w:t>are</w:t>
      </w:r>
      <w:r>
        <w:rPr>
          <w:lang w:val="en-US"/>
        </w:rPr>
        <w:t xml:space="preserve"> not considered for NR-U</w:t>
      </w:r>
      <w:r w:rsidR="001747B9">
        <w:rPr>
          <w:lang w:val="en-US"/>
        </w:rPr>
        <w:t>.</w:t>
      </w:r>
      <w:bookmarkEnd w:id="28"/>
      <w:r>
        <w:rPr>
          <w:lang w:val="en-US"/>
        </w:rPr>
        <w:t xml:space="preserve">   </w:t>
      </w:r>
    </w:p>
    <w:p w14:paraId="269573C7" w14:textId="710CEF0B" w:rsidR="00C01F33" w:rsidRPr="00CE0424" w:rsidRDefault="00446710" w:rsidP="00CE0424">
      <w:pPr>
        <w:pStyle w:val="Heading1"/>
      </w:pPr>
      <w:r>
        <w:t>5</w:t>
      </w:r>
      <w:r>
        <w:tab/>
      </w:r>
      <w:r w:rsidR="00C01F33" w:rsidRPr="00CE0424">
        <w:t>Conclusion</w:t>
      </w:r>
    </w:p>
    <w:p w14:paraId="4E87633F" w14:textId="6CE311B1" w:rsidR="008E065E" w:rsidRDefault="008E065E" w:rsidP="008E065E">
      <w:pPr>
        <w:pStyle w:val="BodyText"/>
        <w:rPr>
          <w:b/>
          <w:bCs/>
        </w:rPr>
      </w:pPr>
      <w:r>
        <w:t xml:space="preserve">In </w:t>
      </w:r>
      <w:r w:rsidR="00F75255">
        <w:t>this paper</w:t>
      </w:r>
      <w:r w:rsidRPr="00CE0424">
        <w:t xml:space="preserve"> we </w:t>
      </w:r>
      <w:r>
        <w:t>made the following observations</w:t>
      </w:r>
      <w:r w:rsidRPr="00CE0424">
        <w:t>:</w:t>
      </w:r>
      <w:r w:rsidR="00C93814">
        <w:rPr>
          <w:b/>
          <w:bCs/>
        </w:rPr>
        <w:t xml:space="preserve"> </w:t>
      </w:r>
    </w:p>
    <w:p w14:paraId="665B7DD0" w14:textId="2833A920" w:rsidR="00EE479F"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5912113" w:history="1">
        <w:r w:rsidR="00EE479F" w:rsidRPr="00666D79">
          <w:rPr>
            <w:rStyle w:val="Hyperlink"/>
            <w:noProof/>
          </w:rPr>
          <w:t>Observation 1</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rPr>
          <w:t>NR Rel15 supports DL and UL transmission starting in any symbol.</w:t>
        </w:r>
      </w:hyperlink>
    </w:p>
    <w:p w14:paraId="5EF682EE" w14:textId="55C8748A"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14" w:history="1">
        <w:r w:rsidR="00EE479F" w:rsidRPr="00666D79">
          <w:rPr>
            <w:rStyle w:val="Hyperlink"/>
            <w:noProof/>
          </w:rPr>
          <w:t>Observation 2</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rPr>
          <w:t>The periodicity of the starting point is controlled by the CORESET and search space RRC configuration. The monitoring periodicity is decoupled from the supported Type B transmission duration.</w:t>
        </w:r>
      </w:hyperlink>
    </w:p>
    <w:p w14:paraId="3209D3A8" w14:textId="5728E1D5"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15" w:history="1">
        <w:r w:rsidR="00EE479F" w:rsidRPr="00666D79">
          <w:rPr>
            <w:rStyle w:val="Hyperlink"/>
            <w:noProof/>
          </w:rPr>
          <w:t>Observation 3</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rPr>
          <w:t>Support of a single numerology per band in order to avoid UE blind detection in a stand-alone scenario implies that the numerology candidate (30 vs. 60 kHz SCS and NCP vs. ECP) needs to be chosen to maximize deployment flexibility.</w:t>
        </w:r>
      </w:hyperlink>
    </w:p>
    <w:p w14:paraId="3E099CC9" w14:textId="1BC0F089"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16" w:history="1">
        <w:r w:rsidR="00EE479F" w:rsidRPr="00666D79">
          <w:rPr>
            <w:rStyle w:val="Hyperlink"/>
            <w:noProof/>
          </w:rPr>
          <w:t>Observation 4</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rPr>
          <w:t>30 kHz + NCP offers greater deployment flexibility than 60 kHz + NCP.</w:t>
        </w:r>
      </w:hyperlink>
    </w:p>
    <w:p w14:paraId="11D0B32C" w14:textId="32FE45E2"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17" w:history="1">
        <w:r w:rsidR="00EE479F" w:rsidRPr="00666D79">
          <w:rPr>
            <w:rStyle w:val="Hyperlink"/>
            <w:noProof/>
          </w:rPr>
          <w:t>Observation 5</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rPr>
          <w:t>60 kHz + NCP breaks down for RMS delay spreads larger than 500 ns unless ECP is used to improve robustness against channel dispersion.</w:t>
        </w:r>
      </w:hyperlink>
    </w:p>
    <w:p w14:paraId="0E7664E5" w14:textId="27E89739"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18" w:history="1">
        <w:r w:rsidR="00EE479F" w:rsidRPr="00666D79">
          <w:rPr>
            <w:rStyle w:val="Hyperlink"/>
            <w:noProof/>
            <w:lang w:val="en-US"/>
          </w:rPr>
          <w:t>Observation 6</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lang w:val="en-US"/>
          </w:rPr>
          <w:t>The largest performance gain is achieve by increasing the SCS from 15 kHz to 30 kHz. Diminishing returns (or even declining returns in DL) are achieved by increasing further from 30 kHz to 60 kHz.</w:t>
        </w:r>
      </w:hyperlink>
    </w:p>
    <w:p w14:paraId="6F096AB9" w14:textId="54C7704E"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19" w:history="1">
        <w:r w:rsidR="00EE479F" w:rsidRPr="00666D79">
          <w:rPr>
            <w:rStyle w:val="Hyperlink"/>
            <w:noProof/>
          </w:rPr>
          <w:t>Observation 7</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rPr>
          <w:t>Single wideband carrier operation (Mode-2) requires the same total number of CORESETs to be configured as CA-based operation (Mode-1) when considering  the same bandwidth. Limitations on the number of CORESETs per CC may pose scaling problems for Mode-2.</w:t>
        </w:r>
      </w:hyperlink>
    </w:p>
    <w:p w14:paraId="57502AA0" w14:textId="7963F81D"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20" w:history="1">
        <w:r w:rsidR="00EE479F" w:rsidRPr="00666D79">
          <w:rPr>
            <w:rStyle w:val="Hyperlink"/>
            <w:noProof/>
            <w:spacing w:val="2"/>
            <w:lang w:val="en-US" w:eastAsia="en-US"/>
          </w:rPr>
          <w:t>Observation 8</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spacing w:val="2"/>
            <w:lang w:val="en-US" w:eastAsia="en-US"/>
          </w:rPr>
          <w:t>Puncturing/rate matching around LBT bandwidth pieces that fail LBT may cause PxSCH decoding failure</w:t>
        </w:r>
      </w:hyperlink>
    </w:p>
    <w:p w14:paraId="398019DC" w14:textId="2A2A1F2E" w:rsidR="00EE479F"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2121" w:history="1">
        <w:r w:rsidR="00EE479F" w:rsidRPr="00666D79">
          <w:rPr>
            <w:rStyle w:val="Hyperlink"/>
            <w:noProof/>
          </w:rPr>
          <w:t>Observation 9</w:t>
        </w:r>
        <w:r w:rsidR="00EE479F">
          <w:rPr>
            <w:rFonts w:asciiTheme="minorHAnsi" w:eastAsiaTheme="minorEastAsia" w:hAnsiTheme="minorHAnsi" w:cstheme="minorBidi"/>
            <w:b w:val="0"/>
            <w:noProof/>
            <w:sz w:val="22"/>
            <w:szCs w:val="22"/>
            <w:lang w:val="en-US" w:eastAsia="en-US"/>
          </w:rPr>
          <w:tab/>
        </w:r>
        <w:r w:rsidR="00EE479F" w:rsidRPr="00666D79">
          <w:rPr>
            <w:rStyle w:val="Hyperlink"/>
            <w:noProof/>
          </w:rPr>
          <w:t>Introduction of intra-BWP guard bands to control adjacent channel leakage into LBT bandwidth pieces that fail LBT may require significant RAN4 specification effort</w:t>
        </w:r>
      </w:hyperlink>
    </w:p>
    <w:p w14:paraId="6449A13A" w14:textId="6A6957D5" w:rsidR="006E1C82" w:rsidRDefault="006F6582" w:rsidP="006E1C82">
      <w:pPr>
        <w:pStyle w:val="BodyText"/>
      </w:pPr>
      <w:r>
        <w:rPr>
          <w:b/>
          <w:bCs/>
        </w:rPr>
        <w:fldChar w:fldCharType="end"/>
      </w:r>
      <w:r w:rsidR="008E065E" w:rsidRPr="00CE0424">
        <w:t xml:space="preserve">Based on the discussion </w:t>
      </w:r>
      <w:r w:rsidR="00F75255">
        <w:t>in this paper</w:t>
      </w:r>
      <w:r w:rsidR="008E065E" w:rsidRPr="00CE0424">
        <w:t xml:space="preserve"> we propose the following:</w:t>
      </w:r>
    </w:p>
    <w:p w14:paraId="186E6DF3" w14:textId="4D1B1AA4" w:rsidR="00180A6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5913249" w:history="1">
        <w:r w:rsidR="00180A6A" w:rsidRPr="004E2A28">
          <w:rPr>
            <w:rStyle w:val="Hyperlink"/>
            <w:noProof/>
          </w:rPr>
          <w:t>Proposal 1</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rPr>
          <w:t>No additional DL or UL starting positions are needed for NR-U</w:t>
        </w:r>
      </w:hyperlink>
    </w:p>
    <w:p w14:paraId="5F7CC117" w14:textId="79B5CE05" w:rsidR="00180A6A"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3250" w:history="1">
        <w:r w:rsidR="00180A6A" w:rsidRPr="004E2A28">
          <w:rPr>
            <w:rStyle w:val="Hyperlink"/>
            <w:noProof/>
          </w:rPr>
          <w:t>Proposal 2</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rPr>
          <w:t>Due to considerations of deployment flexibility, performance, and minimized spec impact, 30 kHz + NCP is prioritized for NR-U PHY layer channel design and PHY layer procedure design.</w:t>
        </w:r>
      </w:hyperlink>
    </w:p>
    <w:p w14:paraId="500889F0" w14:textId="74F0C918" w:rsidR="00180A6A"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3251" w:history="1">
        <w:r w:rsidR="00180A6A" w:rsidRPr="004E2A28">
          <w:rPr>
            <w:rStyle w:val="Hyperlink"/>
            <w:noProof/>
          </w:rPr>
          <w:t>Proposal 3</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rPr>
          <w:t>Capture the specification impact of supporting different numerology candidates for FR1 operation for NR-U in TR 38.889. A TP is included in [3].</w:t>
        </w:r>
      </w:hyperlink>
    </w:p>
    <w:p w14:paraId="72A09C51" w14:textId="721225B9" w:rsidR="00180A6A"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3252" w:history="1">
        <w:r w:rsidR="00180A6A" w:rsidRPr="004E2A28">
          <w:rPr>
            <w:rStyle w:val="Hyperlink"/>
            <w:noProof/>
          </w:rPr>
          <w:t>Proposal 4</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rPr>
          <w:t>For CA-based wideband operation in NR-U, it is beneficial to utilize the guard bands between two or more contiguous CCs for PxSCH reception (x = D for downlink and = U for uplink).</w:t>
        </w:r>
      </w:hyperlink>
    </w:p>
    <w:p w14:paraId="1699D15B" w14:textId="153B6C7A" w:rsidR="00180A6A"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3253" w:history="1">
        <w:r w:rsidR="00180A6A" w:rsidRPr="004E2A28">
          <w:rPr>
            <w:rStyle w:val="Hyperlink"/>
            <w:noProof/>
          </w:rPr>
          <w:t>Proposal 5</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rPr>
          <w:t>Send an LS to RAN4 requesting whether or not intra-BWP guard bands are needed for wideband carrier operation where a BWP spans multiple LBT bandwidth pieces. A draft LS in included in [6].</w:t>
        </w:r>
      </w:hyperlink>
    </w:p>
    <w:p w14:paraId="26014256" w14:textId="2FAA60E9" w:rsidR="00180A6A"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3254" w:history="1">
        <w:r w:rsidR="00180A6A" w:rsidRPr="004E2A28">
          <w:rPr>
            <w:rStyle w:val="Hyperlink"/>
            <w:noProof/>
          </w:rPr>
          <w:t>Proposal 6</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rPr>
          <w:t>NR-U supports CA-based wideband carrier operation (Mode-1) with carrier bandwidth equal to the LBT bandwidth.</w:t>
        </w:r>
      </w:hyperlink>
    </w:p>
    <w:p w14:paraId="195AB283" w14:textId="6377116C" w:rsidR="00180A6A"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3255" w:history="1">
        <w:r w:rsidR="00180A6A" w:rsidRPr="004E2A28">
          <w:rPr>
            <w:rStyle w:val="Hyperlink"/>
            <w:noProof/>
          </w:rPr>
          <w:t>Proposal 7</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rPr>
          <w:t>NR-U supports single wideband carrier operation (Mode-2) with wideband LBT only, and not sub-band LBT.</w:t>
        </w:r>
      </w:hyperlink>
    </w:p>
    <w:p w14:paraId="477F1A31" w14:textId="7570CC40" w:rsidR="00180A6A" w:rsidRDefault="00501C1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13256" w:history="1">
        <w:r w:rsidR="00180A6A" w:rsidRPr="004E2A28">
          <w:rPr>
            <w:rStyle w:val="Hyperlink"/>
            <w:noProof/>
            <w:lang w:val="en-US"/>
          </w:rPr>
          <w:t>Proposal 8</w:t>
        </w:r>
        <w:r w:rsidR="00180A6A">
          <w:rPr>
            <w:rFonts w:asciiTheme="minorHAnsi" w:eastAsiaTheme="minorEastAsia" w:hAnsiTheme="minorHAnsi" w:cstheme="minorBidi"/>
            <w:b w:val="0"/>
            <w:noProof/>
            <w:sz w:val="22"/>
            <w:szCs w:val="22"/>
            <w:lang w:val="en-US" w:eastAsia="en-US"/>
          </w:rPr>
          <w:tab/>
        </w:r>
        <w:r w:rsidR="00180A6A" w:rsidRPr="004E2A28">
          <w:rPr>
            <w:rStyle w:val="Hyperlink"/>
            <w:noProof/>
            <w:lang w:val="en-US"/>
          </w:rPr>
          <w:t>Multiple active BWPs are not considered for NR-U.</w:t>
        </w:r>
      </w:hyperlink>
    </w:p>
    <w:p w14:paraId="29E5F4E6" w14:textId="1570836B" w:rsidR="00C01F33" w:rsidRPr="001F0FA7" w:rsidRDefault="006E1C82" w:rsidP="001F0FA7">
      <w:pPr>
        <w:pStyle w:val="BodyText"/>
        <w:rPr>
          <w:b/>
          <w:bCs/>
        </w:rPr>
      </w:pPr>
      <w:r>
        <w:rPr>
          <w:b/>
          <w:bCs/>
          <w:lang w:val="en-US"/>
        </w:rPr>
        <w:fldChar w:fldCharType="end"/>
      </w:r>
    </w:p>
    <w:p w14:paraId="75F0F757" w14:textId="77777777" w:rsidR="00F507D1" w:rsidRPr="00CE0424" w:rsidRDefault="00F507D1" w:rsidP="00CE0424">
      <w:pPr>
        <w:pStyle w:val="Heading1"/>
      </w:pPr>
      <w:bookmarkStart w:id="29" w:name="_In-sequence_SDU_delivery"/>
      <w:bookmarkEnd w:id="29"/>
      <w:r w:rsidRPr="00CE0424">
        <w:t>References</w:t>
      </w:r>
    </w:p>
    <w:p w14:paraId="712AA2FB" w14:textId="4D256944" w:rsidR="004A7240" w:rsidRDefault="004A7240" w:rsidP="0079375B">
      <w:pPr>
        <w:pStyle w:val="Reference"/>
      </w:pPr>
      <w:bookmarkStart w:id="30" w:name="_Ref525732218"/>
      <w:bookmarkStart w:id="31" w:name="_Ref525647225"/>
      <w:r>
        <w:t>A. Simonson, H. Asplund, J. Medbo, and K. Werner, “Beamforming impact on time dispersion assessed on measured channels,” IEEE Vehicular Technology Conference, Porto, Portugal, June 2018.</w:t>
      </w:r>
      <w:bookmarkEnd w:id="30"/>
    </w:p>
    <w:p w14:paraId="2F444379" w14:textId="2BCED335" w:rsidR="00430D8F" w:rsidRDefault="00430D8F" w:rsidP="00430D8F">
      <w:pPr>
        <w:pStyle w:val="Reference"/>
      </w:pPr>
      <w:bookmarkStart w:id="32" w:name="_Ref525734136"/>
      <w:r>
        <w:t>R1-164621, “</w:t>
      </w:r>
      <w:r w:rsidRPr="00430D8F">
        <w:t>On a 30kHz subcarrier spacing option for NR</w:t>
      </w:r>
      <w:r>
        <w:t>,” Ericsson, RAN1#85, May 2016.</w:t>
      </w:r>
      <w:bookmarkEnd w:id="32"/>
    </w:p>
    <w:p w14:paraId="388966A1" w14:textId="0D810331" w:rsidR="00DA12B7" w:rsidRPr="004A7240" w:rsidRDefault="00DA12B7" w:rsidP="00430D8F">
      <w:pPr>
        <w:pStyle w:val="Reference"/>
      </w:pPr>
      <w:bookmarkStart w:id="33" w:name="_Ref525832893"/>
      <w:r w:rsidRPr="00741C00">
        <w:t>R1-18</w:t>
      </w:r>
      <w:r w:rsidR="00741C00" w:rsidRPr="00741C00">
        <w:t>11309</w:t>
      </w:r>
      <w:r>
        <w:t>, “TP for 38.889 on numerology for NR-U,” Ericsson, RAN1#94b, October 2018.</w:t>
      </w:r>
      <w:bookmarkEnd w:id="33"/>
    </w:p>
    <w:p w14:paraId="658DD671" w14:textId="13C4C60F" w:rsidR="00665E53" w:rsidRDefault="00665E53" w:rsidP="00665E53">
      <w:pPr>
        <w:pStyle w:val="Reference"/>
      </w:pPr>
      <w:bookmarkStart w:id="34" w:name="_Ref525666031"/>
      <w:bookmarkEnd w:id="31"/>
      <w:r w:rsidRPr="00741C00">
        <w:t>R1-18</w:t>
      </w:r>
      <w:r w:rsidR="00741C00" w:rsidRPr="00741C00">
        <w:t>11307</w:t>
      </w:r>
      <w:r>
        <w:t>, “ACLR aspects of wideband carrier operation,” Ericsson, RAN1#94b, October 2018.</w:t>
      </w:r>
      <w:bookmarkEnd w:id="34"/>
    </w:p>
    <w:p w14:paraId="1B2DD0B5" w14:textId="09E4434C" w:rsidR="00A961B7" w:rsidRPr="004843BD" w:rsidRDefault="00A961B7" w:rsidP="004843BD">
      <w:pPr>
        <w:pStyle w:val="Reference"/>
      </w:pPr>
      <w:bookmarkStart w:id="35" w:name="_Ref525666430"/>
      <w:r>
        <w:rPr>
          <w:rFonts w:cs="Arial"/>
        </w:rPr>
        <w:t>3GPP TS 36.104, “Base station radio transmission and reception,” v15.3.0, June 2018.</w:t>
      </w:r>
      <w:bookmarkEnd w:id="35"/>
    </w:p>
    <w:p w14:paraId="14F675E1" w14:textId="2EC92044" w:rsidR="004843BD" w:rsidRDefault="004843BD" w:rsidP="004843BD">
      <w:pPr>
        <w:pStyle w:val="Reference"/>
      </w:pPr>
      <w:bookmarkStart w:id="36" w:name="_Ref525666947"/>
      <w:r w:rsidRPr="00741C00">
        <w:t>R1-18</w:t>
      </w:r>
      <w:r w:rsidR="00741C00" w:rsidRPr="00741C00">
        <w:t>11308</w:t>
      </w:r>
      <w:r>
        <w:t>, “Draft LS to RAN4 on CACLR requirements for NR-U,” Ericsson, RAN1#94b, October 2018.</w:t>
      </w:r>
      <w:bookmarkEnd w:id="36"/>
    </w:p>
    <w:sectPr w:rsidR="004843B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4A09F" w14:textId="77777777" w:rsidR="00501C1D" w:rsidRDefault="00501C1D">
      <w:r>
        <w:separator/>
      </w:r>
    </w:p>
  </w:endnote>
  <w:endnote w:type="continuationSeparator" w:id="0">
    <w:p w14:paraId="59AA5C9A" w14:textId="77777777" w:rsidR="00501C1D" w:rsidRDefault="0050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890B40" w:rsidRDefault="00890B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24137" w14:textId="77777777" w:rsidR="00501C1D" w:rsidRDefault="00501C1D">
      <w:r>
        <w:separator/>
      </w:r>
    </w:p>
  </w:footnote>
  <w:footnote w:type="continuationSeparator" w:id="0">
    <w:p w14:paraId="76B06455" w14:textId="77777777" w:rsidR="00501C1D" w:rsidRDefault="00501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890B40" w:rsidRDefault="00890B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A464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F88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5F221A"/>
    <w:multiLevelType w:val="hybridMultilevel"/>
    <w:tmpl w:val="1F84793A"/>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D5D9C"/>
    <w:multiLevelType w:val="hybridMultilevel"/>
    <w:tmpl w:val="113EBF9E"/>
    <w:lvl w:ilvl="0" w:tplc="DA14BCF8">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10" w15:restartNumberingAfterBreak="0">
    <w:nsid w:val="138C09C4"/>
    <w:multiLevelType w:val="hybridMultilevel"/>
    <w:tmpl w:val="DDFE0BB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1" w15:restartNumberingAfterBreak="0">
    <w:nsid w:val="17460B74"/>
    <w:multiLevelType w:val="hybridMultilevel"/>
    <w:tmpl w:val="6CE4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AA6920"/>
    <w:multiLevelType w:val="hybridMultilevel"/>
    <w:tmpl w:val="7182E3FE"/>
    <w:lvl w:ilvl="0" w:tplc="A296FB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BE30E2"/>
    <w:multiLevelType w:val="hybridMultilevel"/>
    <w:tmpl w:val="09F44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12264C"/>
    <w:multiLevelType w:val="hybridMultilevel"/>
    <w:tmpl w:val="BABE9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640C80"/>
    <w:multiLevelType w:val="hybridMultilevel"/>
    <w:tmpl w:val="A448D24C"/>
    <w:lvl w:ilvl="0" w:tplc="CD2CCC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744F31"/>
    <w:multiLevelType w:val="hybridMultilevel"/>
    <w:tmpl w:val="BE044120"/>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4752224"/>
    <w:multiLevelType w:val="hybridMultilevel"/>
    <w:tmpl w:val="D79403AC"/>
    <w:lvl w:ilvl="0" w:tplc="589E10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256356"/>
    <w:multiLevelType w:val="multilevel"/>
    <w:tmpl w:val="32A65B2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66181F"/>
    <w:multiLevelType w:val="hybridMultilevel"/>
    <w:tmpl w:val="0F00C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F694E"/>
    <w:multiLevelType w:val="hybridMultilevel"/>
    <w:tmpl w:val="102CD6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30"/>
  </w:num>
  <w:num w:numId="3">
    <w:abstractNumId w:val="21"/>
  </w:num>
  <w:num w:numId="4">
    <w:abstractNumId w:val="22"/>
  </w:num>
  <w:num w:numId="5">
    <w:abstractNumId w:val="18"/>
  </w:num>
  <w:num w:numId="6">
    <w:abstractNumId w:val="25"/>
  </w:num>
  <w:num w:numId="7">
    <w:abstractNumId w:val="36"/>
  </w:num>
  <w:num w:numId="8">
    <w:abstractNumId w:val="19"/>
  </w:num>
  <w:num w:numId="9">
    <w:abstractNumId w:val="17"/>
  </w:num>
  <w:num w:numId="10">
    <w:abstractNumId w:val="2"/>
  </w:num>
  <w:num w:numId="11">
    <w:abstractNumId w:val="1"/>
  </w:num>
  <w:num w:numId="12">
    <w:abstractNumId w:val="0"/>
  </w:num>
  <w:num w:numId="13">
    <w:abstractNumId w:val="32"/>
  </w:num>
  <w:num w:numId="14">
    <w:abstractNumId w:val="33"/>
  </w:num>
  <w:num w:numId="15">
    <w:abstractNumId w:val="23"/>
  </w:num>
  <w:num w:numId="16">
    <w:abstractNumId w:val="37"/>
  </w:num>
  <w:num w:numId="17">
    <w:abstractNumId w:val="14"/>
  </w:num>
  <w:num w:numId="18">
    <w:abstractNumId w:val="16"/>
  </w:num>
  <w:num w:numId="19">
    <w:abstractNumId w:val="7"/>
  </w:num>
  <w:num w:numId="20">
    <w:abstractNumId w:val="43"/>
  </w:num>
  <w:num w:numId="21">
    <w:abstractNumId w:val="20"/>
  </w:num>
  <w:num w:numId="22">
    <w:abstractNumId w:val="41"/>
  </w:num>
  <w:num w:numId="23">
    <w:abstractNumId w:val="44"/>
  </w:num>
  <w:num w:numId="24">
    <w:abstractNumId w:val="28"/>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5"/>
  </w:num>
  <w:num w:numId="28">
    <w:abstractNumId w:val="10"/>
  </w:num>
  <w:num w:numId="29">
    <w:abstractNumId w:val="26"/>
  </w:num>
  <w:num w:numId="30">
    <w:abstractNumId w:val="12"/>
  </w:num>
  <w:num w:numId="31">
    <w:abstractNumId w:val="29"/>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7"/>
  </w:num>
  <w:num w:numId="35">
    <w:abstractNumId w:val="34"/>
  </w:num>
  <w:num w:numId="36">
    <w:abstractNumId w:val="39"/>
  </w:num>
  <w:num w:numId="37">
    <w:abstractNumId w:val="40"/>
  </w:num>
  <w:num w:numId="38">
    <w:abstractNumId w:val="8"/>
  </w:num>
  <w:num w:numId="39">
    <w:abstractNumId w:val="38"/>
  </w:num>
  <w:num w:numId="40">
    <w:abstractNumId w:val="9"/>
  </w:num>
  <w:num w:numId="41">
    <w:abstractNumId w:val="6"/>
  </w:num>
  <w:num w:numId="42">
    <w:abstractNumId w:val="42"/>
  </w:num>
  <w:num w:numId="43">
    <w:abstractNumId w:val="13"/>
  </w:num>
  <w:num w:numId="44">
    <w:abstractNumId w:val="45"/>
  </w:num>
  <w:num w:numId="45">
    <w:abstractNumId w:val="4"/>
  </w:num>
  <w:num w:numId="46">
    <w:abstractNumId w:val="11"/>
  </w:num>
  <w:num w:numId="47">
    <w:abstractNumId w:val="15"/>
  </w:num>
  <w:num w:numId="48">
    <w:abstractNumId w:val="4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0ABF"/>
    <w:rsid w:val="00011B28"/>
    <w:rsid w:val="00015D15"/>
    <w:rsid w:val="000204C9"/>
    <w:rsid w:val="00023280"/>
    <w:rsid w:val="00023C28"/>
    <w:rsid w:val="0002564D"/>
    <w:rsid w:val="00025ECA"/>
    <w:rsid w:val="000325B8"/>
    <w:rsid w:val="00033FEE"/>
    <w:rsid w:val="00034C15"/>
    <w:rsid w:val="00035BC4"/>
    <w:rsid w:val="00036BA1"/>
    <w:rsid w:val="000422E2"/>
    <w:rsid w:val="00042F22"/>
    <w:rsid w:val="000444EF"/>
    <w:rsid w:val="0004455C"/>
    <w:rsid w:val="00052A07"/>
    <w:rsid w:val="000534E3"/>
    <w:rsid w:val="0005606A"/>
    <w:rsid w:val="00057117"/>
    <w:rsid w:val="000616E7"/>
    <w:rsid w:val="00063A58"/>
    <w:rsid w:val="00063CFC"/>
    <w:rsid w:val="0006487E"/>
    <w:rsid w:val="00065E1A"/>
    <w:rsid w:val="00075E48"/>
    <w:rsid w:val="00077E5F"/>
    <w:rsid w:val="0008036A"/>
    <w:rsid w:val="00081AE6"/>
    <w:rsid w:val="000830F9"/>
    <w:rsid w:val="000855EB"/>
    <w:rsid w:val="00085B52"/>
    <w:rsid w:val="000866F2"/>
    <w:rsid w:val="0009009F"/>
    <w:rsid w:val="00090844"/>
    <w:rsid w:val="00091557"/>
    <w:rsid w:val="000924C1"/>
    <w:rsid w:val="000924F0"/>
    <w:rsid w:val="00093474"/>
    <w:rsid w:val="0009510F"/>
    <w:rsid w:val="000A1264"/>
    <w:rsid w:val="000A1B7B"/>
    <w:rsid w:val="000A514D"/>
    <w:rsid w:val="000A56F2"/>
    <w:rsid w:val="000A6E76"/>
    <w:rsid w:val="000B2719"/>
    <w:rsid w:val="000B3A8F"/>
    <w:rsid w:val="000B4AB9"/>
    <w:rsid w:val="000B58C3"/>
    <w:rsid w:val="000B61E9"/>
    <w:rsid w:val="000C165A"/>
    <w:rsid w:val="000C2E19"/>
    <w:rsid w:val="000D0A6E"/>
    <w:rsid w:val="000D0D07"/>
    <w:rsid w:val="000D4797"/>
    <w:rsid w:val="000D773D"/>
    <w:rsid w:val="000E0527"/>
    <w:rsid w:val="000E1E92"/>
    <w:rsid w:val="000F06D6"/>
    <w:rsid w:val="000F0EB1"/>
    <w:rsid w:val="000F1106"/>
    <w:rsid w:val="000F2FA5"/>
    <w:rsid w:val="000F3BE9"/>
    <w:rsid w:val="000F3F6C"/>
    <w:rsid w:val="000F6DF3"/>
    <w:rsid w:val="000F7251"/>
    <w:rsid w:val="001005FF"/>
    <w:rsid w:val="001023EF"/>
    <w:rsid w:val="00104BB1"/>
    <w:rsid w:val="00104DC8"/>
    <w:rsid w:val="001062FB"/>
    <w:rsid w:val="001063E6"/>
    <w:rsid w:val="00113CF4"/>
    <w:rsid w:val="001153EA"/>
    <w:rsid w:val="00115643"/>
    <w:rsid w:val="00116765"/>
    <w:rsid w:val="001219F5"/>
    <w:rsid w:val="00121A20"/>
    <w:rsid w:val="0012377F"/>
    <w:rsid w:val="00124314"/>
    <w:rsid w:val="0012696F"/>
    <w:rsid w:val="00126B4A"/>
    <w:rsid w:val="00131B51"/>
    <w:rsid w:val="00132FD0"/>
    <w:rsid w:val="001344C0"/>
    <w:rsid w:val="001346FA"/>
    <w:rsid w:val="00135252"/>
    <w:rsid w:val="00137AB5"/>
    <w:rsid w:val="00137F0B"/>
    <w:rsid w:val="00151E23"/>
    <w:rsid w:val="001526E0"/>
    <w:rsid w:val="001551B5"/>
    <w:rsid w:val="00163401"/>
    <w:rsid w:val="001659C1"/>
    <w:rsid w:val="00170FF5"/>
    <w:rsid w:val="00173A8E"/>
    <w:rsid w:val="00173FE0"/>
    <w:rsid w:val="001747B9"/>
    <w:rsid w:val="0017502C"/>
    <w:rsid w:val="00180A6A"/>
    <w:rsid w:val="0018143F"/>
    <w:rsid w:val="00181AC7"/>
    <w:rsid w:val="00181FF8"/>
    <w:rsid w:val="001821BD"/>
    <w:rsid w:val="00190AC1"/>
    <w:rsid w:val="0019341A"/>
    <w:rsid w:val="00195C4B"/>
    <w:rsid w:val="001960A1"/>
    <w:rsid w:val="0019625E"/>
    <w:rsid w:val="00197DF9"/>
    <w:rsid w:val="001A11F9"/>
    <w:rsid w:val="001A1987"/>
    <w:rsid w:val="001A2564"/>
    <w:rsid w:val="001A42EA"/>
    <w:rsid w:val="001A47A8"/>
    <w:rsid w:val="001A6173"/>
    <w:rsid w:val="001A6CBA"/>
    <w:rsid w:val="001B0387"/>
    <w:rsid w:val="001B0D97"/>
    <w:rsid w:val="001B5A5D"/>
    <w:rsid w:val="001C0AA9"/>
    <w:rsid w:val="001C1CE5"/>
    <w:rsid w:val="001C3D2A"/>
    <w:rsid w:val="001C7CFA"/>
    <w:rsid w:val="001D51BA"/>
    <w:rsid w:val="001D53E7"/>
    <w:rsid w:val="001D6342"/>
    <w:rsid w:val="001D6D53"/>
    <w:rsid w:val="001E2838"/>
    <w:rsid w:val="001E4200"/>
    <w:rsid w:val="001E58E2"/>
    <w:rsid w:val="001E7AED"/>
    <w:rsid w:val="001F0FA7"/>
    <w:rsid w:val="001F1F89"/>
    <w:rsid w:val="001F3916"/>
    <w:rsid w:val="001F54C5"/>
    <w:rsid w:val="001F662C"/>
    <w:rsid w:val="001F7074"/>
    <w:rsid w:val="001F7FB1"/>
    <w:rsid w:val="00200490"/>
    <w:rsid w:val="00201F3A"/>
    <w:rsid w:val="00203F96"/>
    <w:rsid w:val="002069B2"/>
    <w:rsid w:val="00207FA3"/>
    <w:rsid w:val="00214023"/>
    <w:rsid w:val="00214DA8"/>
    <w:rsid w:val="00215423"/>
    <w:rsid w:val="002158FA"/>
    <w:rsid w:val="0021716B"/>
    <w:rsid w:val="00220600"/>
    <w:rsid w:val="00221C73"/>
    <w:rsid w:val="002224DB"/>
    <w:rsid w:val="00223D99"/>
    <w:rsid w:val="00223FCB"/>
    <w:rsid w:val="002252C3"/>
    <w:rsid w:val="002258CC"/>
    <w:rsid w:val="00225C54"/>
    <w:rsid w:val="00230765"/>
    <w:rsid w:val="00230D18"/>
    <w:rsid w:val="002319E4"/>
    <w:rsid w:val="00232FAF"/>
    <w:rsid w:val="00235632"/>
    <w:rsid w:val="00235872"/>
    <w:rsid w:val="00241559"/>
    <w:rsid w:val="002435B3"/>
    <w:rsid w:val="00243E7D"/>
    <w:rsid w:val="002458EB"/>
    <w:rsid w:val="002500C8"/>
    <w:rsid w:val="002521E3"/>
    <w:rsid w:val="00257543"/>
    <w:rsid w:val="002617E7"/>
    <w:rsid w:val="00262B6C"/>
    <w:rsid w:val="00263A7D"/>
    <w:rsid w:val="00264228"/>
    <w:rsid w:val="00264334"/>
    <w:rsid w:val="0026473E"/>
    <w:rsid w:val="00266214"/>
    <w:rsid w:val="00267794"/>
    <w:rsid w:val="00267C83"/>
    <w:rsid w:val="00267E63"/>
    <w:rsid w:val="0027144F"/>
    <w:rsid w:val="00271813"/>
    <w:rsid w:val="00271F3A"/>
    <w:rsid w:val="00272093"/>
    <w:rsid w:val="00273278"/>
    <w:rsid w:val="002737F4"/>
    <w:rsid w:val="002805F5"/>
    <w:rsid w:val="00280751"/>
    <w:rsid w:val="00281A53"/>
    <w:rsid w:val="0028280A"/>
    <w:rsid w:val="00286ACD"/>
    <w:rsid w:val="00287838"/>
    <w:rsid w:val="00287FE4"/>
    <w:rsid w:val="002907B5"/>
    <w:rsid w:val="00291B3A"/>
    <w:rsid w:val="00292EB7"/>
    <w:rsid w:val="00295378"/>
    <w:rsid w:val="00296227"/>
    <w:rsid w:val="00296F44"/>
    <w:rsid w:val="002971B2"/>
    <w:rsid w:val="0029777D"/>
    <w:rsid w:val="002A055E"/>
    <w:rsid w:val="002A1507"/>
    <w:rsid w:val="002A1D4E"/>
    <w:rsid w:val="002A2869"/>
    <w:rsid w:val="002B24D6"/>
    <w:rsid w:val="002B46C3"/>
    <w:rsid w:val="002C41E6"/>
    <w:rsid w:val="002C644B"/>
    <w:rsid w:val="002D071A"/>
    <w:rsid w:val="002D34B2"/>
    <w:rsid w:val="002D48B0"/>
    <w:rsid w:val="002D5B37"/>
    <w:rsid w:val="002D7637"/>
    <w:rsid w:val="002E17F2"/>
    <w:rsid w:val="002E18B7"/>
    <w:rsid w:val="002E2BD2"/>
    <w:rsid w:val="002E7CAE"/>
    <w:rsid w:val="002F2771"/>
    <w:rsid w:val="002F37A9"/>
    <w:rsid w:val="002F65F4"/>
    <w:rsid w:val="003017C9"/>
    <w:rsid w:val="00301CE6"/>
    <w:rsid w:val="0030256B"/>
    <w:rsid w:val="0030501F"/>
    <w:rsid w:val="00307BA1"/>
    <w:rsid w:val="00311702"/>
    <w:rsid w:val="00311E82"/>
    <w:rsid w:val="00312FD9"/>
    <w:rsid w:val="00313FD6"/>
    <w:rsid w:val="003143BD"/>
    <w:rsid w:val="00314C73"/>
    <w:rsid w:val="00315363"/>
    <w:rsid w:val="003203ED"/>
    <w:rsid w:val="00322C9F"/>
    <w:rsid w:val="00323B65"/>
    <w:rsid w:val="00324D23"/>
    <w:rsid w:val="00331751"/>
    <w:rsid w:val="00334579"/>
    <w:rsid w:val="00335858"/>
    <w:rsid w:val="00336BDA"/>
    <w:rsid w:val="003379F4"/>
    <w:rsid w:val="0034108E"/>
    <w:rsid w:val="003417B9"/>
    <w:rsid w:val="00341F16"/>
    <w:rsid w:val="00342BD7"/>
    <w:rsid w:val="00345AE8"/>
    <w:rsid w:val="00346DB5"/>
    <w:rsid w:val="003477B1"/>
    <w:rsid w:val="00357380"/>
    <w:rsid w:val="003602D9"/>
    <w:rsid w:val="003604CE"/>
    <w:rsid w:val="00367B68"/>
    <w:rsid w:val="00370E47"/>
    <w:rsid w:val="00372996"/>
    <w:rsid w:val="003742AC"/>
    <w:rsid w:val="00377CE1"/>
    <w:rsid w:val="003815B5"/>
    <w:rsid w:val="00385BF0"/>
    <w:rsid w:val="0039158D"/>
    <w:rsid w:val="003939FF"/>
    <w:rsid w:val="003A2223"/>
    <w:rsid w:val="003A2A0F"/>
    <w:rsid w:val="003A4425"/>
    <w:rsid w:val="003A45A1"/>
    <w:rsid w:val="003A5B0A"/>
    <w:rsid w:val="003A5FBE"/>
    <w:rsid w:val="003A6BAC"/>
    <w:rsid w:val="003A6E90"/>
    <w:rsid w:val="003A70A4"/>
    <w:rsid w:val="003A7EF3"/>
    <w:rsid w:val="003B0D43"/>
    <w:rsid w:val="003B159C"/>
    <w:rsid w:val="003B369F"/>
    <w:rsid w:val="003B36A3"/>
    <w:rsid w:val="003B37D3"/>
    <w:rsid w:val="003B4DD8"/>
    <w:rsid w:val="003B64BB"/>
    <w:rsid w:val="003B721B"/>
    <w:rsid w:val="003B7FE5"/>
    <w:rsid w:val="003C11C8"/>
    <w:rsid w:val="003C2702"/>
    <w:rsid w:val="003C4F93"/>
    <w:rsid w:val="003C7806"/>
    <w:rsid w:val="003D109F"/>
    <w:rsid w:val="003D2478"/>
    <w:rsid w:val="003D2D90"/>
    <w:rsid w:val="003D3C45"/>
    <w:rsid w:val="003D5B1F"/>
    <w:rsid w:val="003E15FA"/>
    <w:rsid w:val="003E3610"/>
    <w:rsid w:val="003E55E4"/>
    <w:rsid w:val="003E74E3"/>
    <w:rsid w:val="003F05C7"/>
    <w:rsid w:val="003F2CD4"/>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45"/>
    <w:rsid w:val="00422AA4"/>
    <w:rsid w:val="004242F4"/>
    <w:rsid w:val="00425DD1"/>
    <w:rsid w:val="00426C39"/>
    <w:rsid w:val="00427248"/>
    <w:rsid w:val="00430D8F"/>
    <w:rsid w:val="00437447"/>
    <w:rsid w:val="00441019"/>
    <w:rsid w:val="00441A92"/>
    <w:rsid w:val="004431DC"/>
    <w:rsid w:val="00444F56"/>
    <w:rsid w:val="004460FB"/>
    <w:rsid w:val="00446488"/>
    <w:rsid w:val="00446710"/>
    <w:rsid w:val="004517AA"/>
    <w:rsid w:val="00452CAC"/>
    <w:rsid w:val="00457565"/>
    <w:rsid w:val="00457B71"/>
    <w:rsid w:val="00462880"/>
    <w:rsid w:val="004643EF"/>
    <w:rsid w:val="00465C4A"/>
    <w:rsid w:val="004669E2"/>
    <w:rsid w:val="00466DA3"/>
    <w:rsid w:val="00470C31"/>
    <w:rsid w:val="004714B6"/>
    <w:rsid w:val="00471DE0"/>
    <w:rsid w:val="004729F8"/>
    <w:rsid w:val="004734D0"/>
    <w:rsid w:val="0047556B"/>
    <w:rsid w:val="00477768"/>
    <w:rsid w:val="004843BD"/>
    <w:rsid w:val="00486E94"/>
    <w:rsid w:val="00492BC5"/>
    <w:rsid w:val="00495F25"/>
    <w:rsid w:val="004964F1"/>
    <w:rsid w:val="004A16BC"/>
    <w:rsid w:val="004A2B94"/>
    <w:rsid w:val="004A55E5"/>
    <w:rsid w:val="004A7240"/>
    <w:rsid w:val="004B6F6A"/>
    <w:rsid w:val="004B7C0C"/>
    <w:rsid w:val="004C3898"/>
    <w:rsid w:val="004D36B1"/>
    <w:rsid w:val="004D7EBD"/>
    <w:rsid w:val="004E2680"/>
    <w:rsid w:val="004E28F9"/>
    <w:rsid w:val="004E3838"/>
    <w:rsid w:val="004E462E"/>
    <w:rsid w:val="004E52A9"/>
    <w:rsid w:val="004E56DC"/>
    <w:rsid w:val="004E76F4"/>
    <w:rsid w:val="004F0B4E"/>
    <w:rsid w:val="004F0B6C"/>
    <w:rsid w:val="004F140F"/>
    <w:rsid w:val="004F2078"/>
    <w:rsid w:val="004F4DA3"/>
    <w:rsid w:val="00501C1D"/>
    <w:rsid w:val="00506557"/>
    <w:rsid w:val="0050677A"/>
    <w:rsid w:val="005108D8"/>
    <w:rsid w:val="005116F9"/>
    <w:rsid w:val="005153A7"/>
    <w:rsid w:val="00521341"/>
    <w:rsid w:val="005219CF"/>
    <w:rsid w:val="00534B59"/>
    <w:rsid w:val="00536759"/>
    <w:rsid w:val="00537058"/>
    <w:rsid w:val="00537C62"/>
    <w:rsid w:val="00546970"/>
    <w:rsid w:val="0054717B"/>
    <w:rsid w:val="0055087F"/>
    <w:rsid w:val="0055129A"/>
    <w:rsid w:val="005530DD"/>
    <w:rsid w:val="00554E19"/>
    <w:rsid w:val="0056121F"/>
    <w:rsid w:val="00570782"/>
    <w:rsid w:val="00572505"/>
    <w:rsid w:val="00577757"/>
    <w:rsid w:val="00582809"/>
    <w:rsid w:val="005867DE"/>
    <w:rsid w:val="0058798C"/>
    <w:rsid w:val="005900FA"/>
    <w:rsid w:val="0059049B"/>
    <w:rsid w:val="005935A4"/>
    <w:rsid w:val="00594780"/>
    <w:rsid w:val="005948C2"/>
    <w:rsid w:val="00595DCA"/>
    <w:rsid w:val="0059729E"/>
    <w:rsid w:val="0059779B"/>
    <w:rsid w:val="005A209A"/>
    <w:rsid w:val="005A662D"/>
    <w:rsid w:val="005B1409"/>
    <w:rsid w:val="005B1CAE"/>
    <w:rsid w:val="005B35D7"/>
    <w:rsid w:val="005B392A"/>
    <w:rsid w:val="005B3AA3"/>
    <w:rsid w:val="005B5465"/>
    <w:rsid w:val="005B6058"/>
    <w:rsid w:val="005B6F83"/>
    <w:rsid w:val="005C0AE6"/>
    <w:rsid w:val="005C4545"/>
    <w:rsid w:val="005C74FB"/>
    <w:rsid w:val="005D1602"/>
    <w:rsid w:val="005E076B"/>
    <w:rsid w:val="005E385F"/>
    <w:rsid w:val="005E59F7"/>
    <w:rsid w:val="005E5B81"/>
    <w:rsid w:val="005F2550"/>
    <w:rsid w:val="005F2CB1"/>
    <w:rsid w:val="005F3025"/>
    <w:rsid w:val="005F618C"/>
    <w:rsid w:val="005F70BD"/>
    <w:rsid w:val="005F746C"/>
    <w:rsid w:val="0060283C"/>
    <w:rsid w:val="00604F14"/>
    <w:rsid w:val="00605146"/>
    <w:rsid w:val="00611B83"/>
    <w:rsid w:val="00613257"/>
    <w:rsid w:val="00616AD6"/>
    <w:rsid w:val="00620A71"/>
    <w:rsid w:val="00620D80"/>
    <w:rsid w:val="006234A6"/>
    <w:rsid w:val="00630001"/>
    <w:rsid w:val="006311B3"/>
    <w:rsid w:val="0063244A"/>
    <w:rsid w:val="0063284C"/>
    <w:rsid w:val="00635DF2"/>
    <w:rsid w:val="00636398"/>
    <w:rsid w:val="006368D3"/>
    <w:rsid w:val="006377EC"/>
    <w:rsid w:val="0064151F"/>
    <w:rsid w:val="00641533"/>
    <w:rsid w:val="006416FE"/>
    <w:rsid w:val="0064208D"/>
    <w:rsid w:val="00643475"/>
    <w:rsid w:val="0064396A"/>
    <w:rsid w:val="00643DDE"/>
    <w:rsid w:val="00645671"/>
    <w:rsid w:val="0064569D"/>
    <w:rsid w:val="0064622C"/>
    <w:rsid w:val="0064624E"/>
    <w:rsid w:val="00650AB9"/>
    <w:rsid w:val="006523C0"/>
    <w:rsid w:val="00655733"/>
    <w:rsid w:val="00655ACD"/>
    <w:rsid w:val="006569D0"/>
    <w:rsid w:val="00656A92"/>
    <w:rsid w:val="00656DDE"/>
    <w:rsid w:val="0066011D"/>
    <w:rsid w:val="006607C0"/>
    <w:rsid w:val="006613A6"/>
    <w:rsid w:val="006627A2"/>
    <w:rsid w:val="006634E6"/>
    <w:rsid w:val="00664C1A"/>
    <w:rsid w:val="00664E50"/>
    <w:rsid w:val="006655EE"/>
    <w:rsid w:val="00665E53"/>
    <w:rsid w:val="00666BE8"/>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95FC2"/>
    <w:rsid w:val="00696949"/>
    <w:rsid w:val="00696EF7"/>
    <w:rsid w:val="00697052"/>
    <w:rsid w:val="006A18CE"/>
    <w:rsid w:val="006A203B"/>
    <w:rsid w:val="006A46FB"/>
    <w:rsid w:val="006A5E28"/>
    <w:rsid w:val="006A697B"/>
    <w:rsid w:val="006A6D00"/>
    <w:rsid w:val="006A7AFF"/>
    <w:rsid w:val="006B1816"/>
    <w:rsid w:val="006B2099"/>
    <w:rsid w:val="006B5002"/>
    <w:rsid w:val="006B50CF"/>
    <w:rsid w:val="006B5901"/>
    <w:rsid w:val="006C03B8"/>
    <w:rsid w:val="006C1DE4"/>
    <w:rsid w:val="006C4D06"/>
    <w:rsid w:val="006C4F1B"/>
    <w:rsid w:val="006C5EC9"/>
    <w:rsid w:val="006C6059"/>
    <w:rsid w:val="006C7522"/>
    <w:rsid w:val="006D647D"/>
    <w:rsid w:val="006D6E7D"/>
    <w:rsid w:val="006D6F08"/>
    <w:rsid w:val="006E062C"/>
    <w:rsid w:val="006E1C82"/>
    <w:rsid w:val="006E28B7"/>
    <w:rsid w:val="006E2A9B"/>
    <w:rsid w:val="006E3310"/>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12287"/>
    <w:rsid w:val="00712772"/>
    <w:rsid w:val="007142F5"/>
    <w:rsid w:val="007148D3"/>
    <w:rsid w:val="00715B9A"/>
    <w:rsid w:val="00716800"/>
    <w:rsid w:val="007216AE"/>
    <w:rsid w:val="00724DD3"/>
    <w:rsid w:val="007257D0"/>
    <w:rsid w:val="00726EA6"/>
    <w:rsid w:val="00727208"/>
    <w:rsid w:val="00727680"/>
    <w:rsid w:val="007348B1"/>
    <w:rsid w:val="007362A6"/>
    <w:rsid w:val="00736D7D"/>
    <w:rsid w:val="00740E58"/>
    <w:rsid w:val="00741C00"/>
    <w:rsid w:val="007445A0"/>
    <w:rsid w:val="0074524B"/>
    <w:rsid w:val="00747D8B"/>
    <w:rsid w:val="00751228"/>
    <w:rsid w:val="0075182F"/>
    <w:rsid w:val="007571E1"/>
    <w:rsid w:val="007576E0"/>
    <w:rsid w:val="007604B2"/>
    <w:rsid w:val="00765281"/>
    <w:rsid w:val="00765ADB"/>
    <w:rsid w:val="00766BAD"/>
    <w:rsid w:val="007729A2"/>
    <w:rsid w:val="007755F2"/>
    <w:rsid w:val="00776971"/>
    <w:rsid w:val="00780A80"/>
    <w:rsid w:val="0078177E"/>
    <w:rsid w:val="0078304C"/>
    <w:rsid w:val="00783673"/>
    <w:rsid w:val="00784F07"/>
    <w:rsid w:val="00785490"/>
    <w:rsid w:val="007925EA"/>
    <w:rsid w:val="0079375B"/>
    <w:rsid w:val="00793CD8"/>
    <w:rsid w:val="00793F37"/>
    <w:rsid w:val="00795C92"/>
    <w:rsid w:val="00796231"/>
    <w:rsid w:val="007A1CB3"/>
    <w:rsid w:val="007A2F5F"/>
    <w:rsid w:val="007A306F"/>
    <w:rsid w:val="007A3F5E"/>
    <w:rsid w:val="007A43A6"/>
    <w:rsid w:val="007A441F"/>
    <w:rsid w:val="007A483A"/>
    <w:rsid w:val="007A58A6"/>
    <w:rsid w:val="007A6C58"/>
    <w:rsid w:val="007A7A3F"/>
    <w:rsid w:val="007B3D2D"/>
    <w:rsid w:val="007B50AE"/>
    <w:rsid w:val="007B51DF"/>
    <w:rsid w:val="007C05DD"/>
    <w:rsid w:val="007C37C1"/>
    <w:rsid w:val="007C3D18"/>
    <w:rsid w:val="007C5AAD"/>
    <w:rsid w:val="007C60BF"/>
    <w:rsid w:val="007C6A07"/>
    <w:rsid w:val="007C75A1"/>
    <w:rsid w:val="007C77A5"/>
    <w:rsid w:val="007D04E5"/>
    <w:rsid w:val="007D23AD"/>
    <w:rsid w:val="007D4358"/>
    <w:rsid w:val="007D4A34"/>
    <w:rsid w:val="007D5901"/>
    <w:rsid w:val="007D7526"/>
    <w:rsid w:val="007E4610"/>
    <w:rsid w:val="007E4715"/>
    <w:rsid w:val="007E505B"/>
    <w:rsid w:val="007E7091"/>
    <w:rsid w:val="007E73E6"/>
    <w:rsid w:val="007F0CD7"/>
    <w:rsid w:val="007F4B69"/>
    <w:rsid w:val="007F6B58"/>
    <w:rsid w:val="007F6FFA"/>
    <w:rsid w:val="007F7AD6"/>
    <w:rsid w:val="0080323E"/>
    <w:rsid w:val="00803FAE"/>
    <w:rsid w:val="0080605F"/>
    <w:rsid w:val="00807786"/>
    <w:rsid w:val="00811FCB"/>
    <w:rsid w:val="008158D6"/>
    <w:rsid w:val="00815A9D"/>
    <w:rsid w:val="00817041"/>
    <w:rsid w:val="00817196"/>
    <w:rsid w:val="008172AE"/>
    <w:rsid w:val="008235DB"/>
    <w:rsid w:val="00824AB4"/>
    <w:rsid w:val="00825C42"/>
    <w:rsid w:val="00825D25"/>
    <w:rsid w:val="00827D6F"/>
    <w:rsid w:val="008376AC"/>
    <w:rsid w:val="00841F3E"/>
    <w:rsid w:val="008444E8"/>
    <w:rsid w:val="00844E80"/>
    <w:rsid w:val="008455CB"/>
    <w:rsid w:val="00846520"/>
    <w:rsid w:val="00846FE7"/>
    <w:rsid w:val="00850D16"/>
    <w:rsid w:val="00856911"/>
    <w:rsid w:val="00862290"/>
    <w:rsid w:val="00863A07"/>
    <w:rsid w:val="008640D0"/>
    <w:rsid w:val="0086686F"/>
    <w:rsid w:val="008677FD"/>
    <w:rsid w:val="008706D4"/>
    <w:rsid w:val="00870F8A"/>
    <w:rsid w:val="008719A4"/>
    <w:rsid w:val="00871D23"/>
    <w:rsid w:val="008738A4"/>
    <w:rsid w:val="00874312"/>
    <w:rsid w:val="0087437C"/>
    <w:rsid w:val="00874FF9"/>
    <w:rsid w:val="00875CD7"/>
    <w:rsid w:val="00876B4D"/>
    <w:rsid w:val="00877F18"/>
    <w:rsid w:val="00880ACE"/>
    <w:rsid w:val="00882EF2"/>
    <w:rsid w:val="00887EDE"/>
    <w:rsid w:val="00890B40"/>
    <w:rsid w:val="00891D52"/>
    <w:rsid w:val="008941E3"/>
    <w:rsid w:val="00894A88"/>
    <w:rsid w:val="00895386"/>
    <w:rsid w:val="008A1DAD"/>
    <w:rsid w:val="008A21FF"/>
    <w:rsid w:val="008A2CE2"/>
    <w:rsid w:val="008A30AC"/>
    <w:rsid w:val="008A44B8"/>
    <w:rsid w:val="008A51A8"/>
    <w:rsid w:val="008A54C7"/>
    <w:rsid w:val="008A77D8"/>
    <w:rsid w:val="008B0483"/>
    <w:rsid w:val="008B120C"/>
    <w:rsid w:val="008B1530"/>
    <w:rsid w:val="008B3652"/>
    <w:rsid w:val="008B51A0"/>
    <w:rsid w:val="008B592A"/>
    <w:rsid w:val="008B7B5C"/>
    <w:rsid w:val="008C000F"/>
    <w:rsid w:val="008C0C99"/>
    <w:rsid w:val="008C1800"/>
    <w:rsid w:val="008C2017"/>
    <w:rsid w:val="008C4958"/>
    <w:rsid w:val="008C4BAA"/>
    <w:rsid w:val="008C6AE8"/>
    <w:rsid w:val="008C7573"/>
    <w:rsid w:val="008D00A5"/>
    <w:rsid w:val="008D34F1"/>
    <w:rsid w:val="008D39D8"/>
    <w:rsid w:val="008D6D1A"/>
    <w:rsid w:val="008E065E"/>
    <w:rsid w:val="008E0927"/>
    <w:rsid w:val="008E1909"/>
    <w:rsid w:val="008E28FA"/>
    <w:rsid w:val="008E7BA1"/>
    <w:rsid w:val="008F1C4E"/>
    <w:rsid w:val="008F1EAB"/>
    <w:rsid w:val="008F223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088"/>
    <w:rsid w:val="00930F86"/>
    <w:rsid w:val="009317FA"/>
    <w:rsid w:val="00931BD9"/>
    <w:rsid w:val="009341DA"/>
    <w:rsid w:val="009368F3"/>
    <w:rsid w:val="00941636"/>
    <w:rsid w:val="00943742"/>
    <w:rsid w:val="00944B32"/>
    <w:rsid w:val="00945C05"/>
    <w:rsid w:val="00946945"/>
    <w:rsid w:val="00947713"/>
    <w:rsid w:val="00950522"/>
    <w:rsid w:val="00950C88"/>
    <w:rsid w:val="00950DE7"/>
    <w:rsid w:val="00952274"/>
    <w:rsid w:val="00953920"/>
    <w:rsid w:val="00953D47"/>
    <w:rsid w:val="0095681E"/>
    <w:rsid w:val="009572D4"/>
    <w:rsid w:val="00961921"/>
    <w:rsid w:val="0096430A"/>
    <w:rsid w:val="0096554B"/>
    <w:rsid w:val="0096584A"/>
    <w:rsid w:val="00970CD7"/>
    <w:rsid w:val="00971F08"/>
    <w:rsid w:val="0097603D"/>
    <w:rsid w:val="00976949"/>
    <w:rsid w:val="00980477"/>
    <w:rsid w:val="00980504"/>
    <w:rsid w:val="00985253"/>
    <w:rsid w:val="009852A3"/>
    <w:rsid w:val="009853B3"/>
    <w:rsid w:val="00985F47"/>
    <w:rsid w:val="00990630"/>
    <w:rsid w:val="00991761"/>
    <w:rsid w:val="009918D4"/>
    <w:rsid w:val="00994DCA"/>
    <w:rsid w:val="009960EC"/>
    <w:rsid w:val="009970DD"/>
    <w:rsid w:val="00997EFB"/>
    <w:rsid w:val="009A0FBA"/>
    <w:rsid w:val="009A1601"/>
    <w:rsid w:val="009A3BB6"/>
    <w:rsid w:val="009A3E1A"/>
    <w:rsid w:val="009A462D"/>
    <w:rsid w:val="009A5806"/>
    <w:rsid w:val="009A5CBA"/>
    <w:rsid w:val="009B0D0E"/>
    <w:rsid w:val="009B1F30"/>
    <w:rsid w:val="009B3AC2"/>
    <w:rsid w:val="009B4DF4"/>
    <w:rsid w:val="009B564E"/>
    <w:rsid w:val="009B7E87"/>
    <w:rsid w:val="009C0169"/>
    <w:rsid w:val="009C403E"/>
    <w:rsid w:val="009C4596"/>
    <w:rsid w:val="009C45FD"/>
    <w:rsid w:val="009D1941"/>
    <w:rsid w:val="009D4FF0"/>
    <w:rsid w:val="009D6FDB"/>
    <w:rsid w:val="009D703C"/>
    <w:rsid w:val="009D718F"/>
    <w:rsid w:val="009E068F"/>
    <w:rsid w:val="009E0E36"/>
    <w:rsid w:val="009E11E1"/>
    <w:rsid w:val="009E14E0"/>
    <w:rsid w:val="009E35DB"/>
    <w:rsid w:val="009E47A3"/>
    <w:rsid w:val="009E47DF"/>
    <w:rsid w:val="009F08F3"/>
    <w:rsid w:val="009F0D27"/>
    <w:rsid w:val="009F344F"/>
    <w:rsid w:val="009F3EB0"/>
    <w:rsid w:val="009F570D"/>
    <w:rsid w:val="00A029A9"/>
    <w:rsid w:val="00A031D8"/>
    <w:rsid w:val="00A048A8"/>
    <w:rsid w:val="00A04F49"/>
    <w:rsid w:val="00A138EC"/>
    <w:rsid w:val="00A13E54"/>
    <w:rsid w:val="00A1509C"/>
    <w:rsid w:val="00A15C2B"/>
    <w:rsid w:val="00A17F63"/>
    <w:rsid w:val="00A2193B"/>
    <w:rsid w:val="00A2351A"/>
    <w:rsid w:val="00A264A9"/>
    <w:rsid w:val="00A26DCF"/>
    <w:rsid w:val="00A27785"/>
    <w:rsid w:val="00A30187"/>
    <w:rsid w:val="00A31151"/>
    <w:rsid w:val="00A3448A"/>
    <w:rsid w:val="00A36297"/>
    <w:rsid w:val="00A41E2B"/>
    <w:rsid w:val="00A45B74"/>
    <w:rsid w:val="00A52127"/>
    <w:rsid w:val="00A52E1D"/>
    <w:rsid w:val="00A55DB1"/>
    <w:rsid w:val="00A61499"/>
    <w:rsid w:val="00A6228C"/>
    <w:rsid w:val="00A62A77"/>
    <w:rsid w:val="00A63483"/>
    <w:rsid w:val="00A64B5A"/>
    <w:rsid w:val="00A657D7"/>
    <w:rsid w:val="00A660AC"/>
    <w:rsid w:val="00A67E6C"/>
    <w:rsid w:val="00A71B99"/>
    <w:rsid w:val="00A739D0"/>
    <w:rsid w:val="00A761D4"/>
    <w:rsid w:val="00A7737D"/>
    <w:rsid w:val="00A77EC4"/>
    <w:rsid w:val="00A812CC"/>
    <w:rsid w:val="00A85960"/>
    <w:rsid w:val="00A92879"/>
    <w:rsid w:val="00A92B42"/>
    <w:rsid w:val="00A9442A"/>
    <w:rsid w:val="00A95035"/>
    <w:rsid w:val="00A961B7"/>
    <w:rsid w:val="00A96DD3"/>
    <w:rsid w:val="00A979D6"/>
    <w:rsid w:val="00AA016F"/>
    <w:rsid w:val="00AA14DA"/>
    <w:rsid w:val="00AA1ED6"/>
    <w:rsid w:val="00AA51D6"/>
    <w:rsid w:val="00AB0BC8"/>
    <w:rsid w:val="00AB11CA"/>
    <w:rsid w:val="00AB14D9"/>
    <w:rsid w:val="00AB4AB8"/>
    <w:rsid w:val="00AB655E"/>
    <w:rsid w:val="00AB6E3E"/>
    <w:rsid w:val="00AC007F"/>
    <w:rsid w:val="00AC2ECD"/>
    <w:rsid w:val="00AC3119"/>
    <w:rsid w:val="00AC49FB"/>
    <w:rsid w:val="00AC5A10"/>
    <w:rsid w:val="00AC66F3"/>
    <w:rsid w:val="00AD001C"/>
    <w:rsid w:val="00AD0AA3"/>
    <w:rsid w:val="00AD25AF"/>
    <w:rsid w:val="00AD2ED0"/>
    <w:rsid w:val="00AD3F94"/>
    <w:rsid w:val="00AD45A2"/>
    <w:rsid w:val="00AD4A5A"/>
    <w:rsid w:val="00AE27AC"/>
    <w:rsid w:val="00AE3371"/>
    <w:rsid w:val="00AE40E0"/>
    <w:rsid w:val="00AE4DBA"/>
    <w:rsid w:val="00AE4F07"/>
    <w:rsid w:val="00AF0D3D"/>
    <w:rsid w:val="00AF1C5D"/>
    <w:rsid w:val="00AF1DCE"/>
    <w:rsid w:val="00AF42D7"/>
    <w:rsid w:val="00AF5372"/>
    <w:rsid w:val="00B006FE"/>
    <w:rsid w:val="00B007CB"/>
    <w:rsid w:val="00B023A1"/>
    <w:rsid w:val="00B02AA9"/>
    <w:rsid w:val="00B02FA3"/>
    <w:rsid w:val="00B048E3"/>
    <w:rsid w:val="00B05084"/>
    <w:rsid w:val="00B157F9"/>
    <w:rsid w:val="00B20256"/>
    <w:rsid w:val="00B2071A"/>
    <w:rsid w:val="00B20D09"/>
    <w:rsid w:val="00B22567"/>
    <w:rsid w:val="00B24A71"/>
    <w:rsid w:val="00B26F9A"/>
    <w:rsid w:val="00B2763F"/>
    <w:rsid w:val="00B278F6"/>
    <w:rsid w:val="00B27AAC"/>
    <w:rsid w:val="00B30929"/>
    <w:rsid w:val="00B372AA"/>
    <w:rsid w:val="00B40445"/>
    <w:rsid w:val="00B409E0"/>
    <w:rsid w:val="00B415E1"/>
    <w:rsid w:val="00B41888"/>
    <w:rsid w:val="00B45A52"/>
    <w:rsid w:val="00B46175"/>
    <w:rsid w:val="00B46724"/>
    <w:rsid w:val="00B53F46"/>
    <w:rsid w:val="00B548B7"/>
    <w:rsid w:val="00B61870"/>
    <w:rsid w:val="00B664C7"/>
    <w:rsid w:val="00B70F4A"/>
    <w:rsid w:val="00B72553"/>
    <w:rsid w:val="00B739F6"/>
    <w:rsid w:val="00B73AC1"/>
    <w:rsid w:val="00B769D2"/>
    <w:rsid w:val="00B81A6C"/>
    <w:rsid w:val="00B83975"/>
    <w:rsid w:val="00B85DE5"/>
    <w:rsid w:val="00B90F73"/>
    <w:rsid w:val="00B92426"/>
    <w:rsid w:val="00B93B59"/>
    <w:rsid w:val="00B9406A"/>
    <w:rsid w:val="00B949E1"/>
    <w:rsid w:val="00B94B0D"/>
    <w:rsid w:val="00B9715C"/>
    <w:rsid w:val="00BA2280"/>
    <w:rsid w:val="00BA2A08"/>
    <w:rsid w:val="00BA56D2"/>
    <w:rsid w:val="00BA69DD"/>
    <w:rsid w:val="00BA7172"/>
    <w:rsid w:val="00BA76E0"/>
    <w:rsid w:val="00BB15D9"/>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555"/>
    <w:rsid w:val="00C02CC6"/>
    <w:rsid w:val="00C03EC6"/>
    <w:rsid w:val="00C040F7"/>
    <w:rsid w:val="00C044AB"/>
    <w:rsid w:val="00C05706"/>
    <w:rsid w:val="00C07377"/>
    <w:rsid w:val="00C10478"/>
    <w:rsid w:val="00C12107"/>
    <w:rsid w:val="00C14D4B"/>
    <w:rsid w:val="00C154BB"/>
    <w:rsid w:val="00C156BE"/>
    <w:rsid w:val="00C25290"/>
    <w:rsid w:val="00C27789"/>
    <w:rsid w:val="00C279B5"/>
    <w:rsid w:val="00C27C45"/>
    <w:rsid w:val="00C3719D"/>
    <w:rsid w:val="00C37B4D"/>
    <w:rsid w:val="00C37CB2"/>
    <w:rsid w:val="00C404DE"/>
    <w:rsid w:val="00C41423"/>
    <w:rsid w:val="00C45A96"/>
    <w:rsid w:val="00C470FC"/>
    <w:rsid w:val="00C473A5"/>
    <w:rsid w:val="00C5054E"/>
    <w:rsid w:val="00C54995"/>
    <w:rsid w:val="00C54D41"/>
    <w:rsid w:val="00C60783"/>
    <w:rsid w:val="00C62702"/>
    <w:rsid w:val="00C64672"/>
    <w:rsid w:val="00C66E70"/>
    <w:rsid w:val="00C70697"/>
    <w:rsid w:val="00C70EEC"/>
    <w:rsid w:val="00C71C25"/>
    <w:rsid w:val="00C72076"/>
    <w:rsid w:val="00C72093"/>
    <w:rsid w:val="00C72EF4"/>
    <w:rsid w:val="00C744FE"/>
    <w:rsid w:val="00C75D2F"/>
    <w:rsid w:val="00C767BE"/>
    <w:rsid w:val="00C76E3C"/>
    <w:rsid w:val="00C81568"/>
    <w:rsid w:val="00C9027A"/>
    <w:rsid w:val="00C9068E"/>
    <w:rsid w:val="00C935A0"/>
    <w:rsid w:val="00C93814"/>
    <w:rsid w:val="00C93C4B"/>
    <w:rsid w:val="00C944AB"/>
    <w:rsid w:val="00C95B40"/>
    <w:rsid w:val="00CA0538"/>
    <w:rsid w:val="00CA1ED8"/>
    <w:rsid w:val="00CA2DED"/>
    <w:rsid w:val="00CA4E6E"/>
    <w:rsid w:val="00CB1F63"/>
    <w:rsid w:val="00CB5B49"/>
    <w:rsid w:val="00CB7170"/>
    <w:rsid w:val="00CC040E"/>
    <w:rsid w:val="00CC111F"/>
    <w:rsid w:val="00CC2011"/>
    <w:rsid w:val="00CC3EA0"/>
    <w:rsid w:val="00CC7B45"/>
    <w:rsid w:val="00CD1188"/>
    <w:rsid w:val="00CD2ED1"/>
    <w:rsid w:val="00CD337B"/>
    <w:rsid w:val="00CE0424"/>
    <w:rsid w:val="00CE1325"/>
    <w:rsid w:val="00CE3BD9"/>
    <w:rsid w:val="00CE7561"/>
    <w:rsid w:val="00CF1354"/>
    <w:rsid w:val="00CF1F77"/>
    <w:rsid w:val="00CF3B1F"/>
    <w:rsid w:val="00CF3BF6"/>
    <w:rsid w:val="00CF625B"/>
    <w:rsid w:val="00CF687E"/>
    <w:rsid w:val="00D02B0C"/>
    <w:rsid w:val="00D032CB"/>
    <w:rsid w:val="00D0349B"/>
    <w:rsid w:val="00D10249"/>
    <w:rsid w:val="00D115C3"/>
    <w:rsid w:val="00D11897"/>
    <w:rsid w:val="00D13135"/>
    <w:rsid w:val="00D13E4E"/>
    <w:rsid w:val="00D16FAA"/>
    <w:rsid w:val="00D239A7"/>
    <w:rsid w:val="00D23F47"/>
    <w:rsid w:val="00D25792"/>
    <w:rsid w:val="00D27714"/>
    <w:rsid w:val="00D35E96"/>
    <w:rsid w:val="00D36E71"/>
    <w:rsid w:val="00D37D87"/>
    <w:rsid w:val="00D40B33"/>
    <w:rsid w:val="00D4318F"/>
    <w:rsid w:val="00D438BF"/>
    <w:rsid w:val="00D440F8"/>
    <w:rsid w:val="00D546FF"/>
    <w:rsid w:val="00D55AD5"/>
    <w:rsid w:val="00D57647"/>
    <w:rsid w:val="00D576CA"/>
    <w:rsid w:val="00D61AF5"/>
    <w:rsid w:val="00D652B5"/>
    <w:rsid w:val="00D66155"/>
    <w:rsid w:val="00D708B0"/>
    <w:rsid w:val="00D74B19"/>
    <w:rsid w:val="00D77B1D"/>
    <w:rsid w:val="00D8021F"/>
    <w:rsid w:val="00D80383"/>
    <w:rsid w:val="00D809D2"/>
    <w:rsid w:val="00D823C6"/>
    <w:rsid w:val="00D829E9"/>
    <w:rsid w:val="00D830AC"/>
    <w:rsid w:val="00D8327F"/>
    <w:rsid w:val="00D86CA3"/>
    <w:rsid w:val="00D87044"/>
    <w:rsid w:val="00D871CE"/>
    <w:rsid w:val="00D902C6"/>
    <w:rsid w:val="00D918C4"/>
    <w:rsid w:val="00D9196D"/>
    <w:rsid w:val="00D92982"/>
    <w:rsid w:val="00D94931"/>
    <w:rsid w:val="00DA087D"/>
    <w:rsid w:val="00DA12B7"/>
    <w:rsid w:val="00DA305E"/>
    <w:rsid w:val="00DA5417"/>
    <w:rsid w:val="00DA56E8"/>
    <w:rsid w:val="00DB0A9F"/>
    <w:rsid w:val="00DB14D1"/>
    <w:rsid w:val="00DB377D"/>
    <w:rsid w:val="00DB627B"/>
    <w:rsid w:val="00DB72AF"/>
    <w:rsid w:val="00DC24AC"/>
    <w:rsid w:val="00DC2D36"/>
    <w:rsid w:val="00DC53EF"/>
    <w:rsid w:val="00DD2379"/>
    <w:rsid w:val="00DD3E5E"/>
    <w:rsid w:val="00DE0939"/>
    <w:rsid w:val="00DE5608"/>
    <w:rsid w:val="00DE58D0"/>
    <w:rsid w:val="00DE654F"/>
    <w:rsid w:val="00DE6CE8"/>
    <w:rsid w:val="00DF00BF"/>
    <w:rsid w:val="00DF0B6E"/>
    <w:rsid w:val="00DF15E0"/>
    <w:rsid w:val="00DF37A0"/>
    <w:rsid w:val="00E02AD2"/>
    <w:rsid w:val="00E06B0A"/>
    <w:rsid w:val="00E07560"/>
    <w:rsid w:val="00E110E7"/>
    <w:rsid w:val="00E117E2"/>
    <w:rsid w:val="00E11B20"/>
    <w:rsid w:val="00E17FA2"/>
    <w:rsid w:val="00E20D68"/>
    <w:rsid w:val="00E22330"/>
    <w:rsid w:val="00E26C48"/>
    <w:rsid w:val="00E304B6"/>
    <w:rsid w:val="00E30B5A"/>
    <w:rsid w:val="00E3123D"/>
    <w:rsid w:val="00E31461"/>
    <w:rsid w:val="00E31D43"/>
    <w:rsid w:val="00E32608"/>
    <w:rsid w:val="00E34188"/>
    <w:rsid w:val="00E34B6E"/>
    <w:rsid w:val="00E35559"/>
    <w:rsid w:val="00E3723A"/>
    <w:rsid w:val="00E37860"/>
    <w:rsid w:val="00E446F1"/>
    <w:rsid w:val="00E46886"/>
    <w:rsid w:val="00E47AEF"/>
    <w:rsid w:val="00E534EA"/>
    <w:rsid w:val="00E53B75"/>
    <w:rsid w:val="00E54965"/>
    <w:rsid w:val="00E54E3B"/>
    <w:rsid w:val="00E57565"/>
    <w:rsid w:val="00E60BDF"/>
    <w:rsid w:val="00E63838"/>
    <w:rsid w:val="00E64434"/>
    <w:rsid w:val="00E6553E"/>
    <w:rsid w:val="00E6624B"/>
    <w:rsid w:val="00E662FD"/>
    <w:rsid w:val="00E67C51"/>
    <w:rsid w:val="00E72EFC"/>
    <w:rsid w:val="00E745CA"/>
    <w:rsid w:val="00E758EC"/>
    <w:rsid w:val="00E75F5A"/>
    <w:rsid w:val="00E7639D"/>
    <w:rsid w:val="00E8234C"/>
    <w:rsid w:val="00E83AA9"/>
    <w:rsid w:val="00E85928"/>
    <w:rsid w:val="00E8620E"/>
    <w:rsid w:val="00E87822"/>
    <w:rsid w:val="00E90395"/>
    <w:rsid w:val="00E90E49"/>
    <w:rsid w:val="00E917F9"/>
    <w:rsid w:val="00E921FD"/>
    <w:rsid w:val="00E9291C"/>
    <w:rsid w:val="00E93FFE"/>
    <w:rsid w:val="00E9453F"/>
    <w:rsid w:val="00E94F8A"/>
    <w:rsid w:val="00E95514"/>
    <w:rsid w:val="00EA3C24"/>
    <w:rsid w:val="00EA7A41"/>
    <w:rsid w:val="00EB077B"/>
    <w:rsid w:val="00EB1DD1"/>
    <w:rsid w:val="00EB4EA2"/>
    <w:rsid w:val="00EC24D5"/>
    <w:rsid w:val="00EC27C6"/>
    <w:rsid w:val="00EC3A6B"/>
    <w:rsid w:val="00EC3D8F"/>
    <w:rsid w:val="00EC4207"/>
    <w:rsid w:val="00EC5653"/>
    <w:rsid w:val="00EC71CE"/>
    <w:rsid w:val="00ED1006"/>
    <w:rsid w:val="00EE1D29"/>
    <w:rsid w:val="00EE479F"/>
    <w:rsid w:val="00EF18FE"/>
    <w:rsid w:val="00EF2498"/>
    <w:rsid w:val="00EF5787"/>
    <w:rsid w:val="00EF60D0"/>
    <w:rsid w:val="00F0528D"/>
    <w:rsid w:val="00F06C67"/>
    <w:rsid w:val="00F06DFD"/>
    <w:rsid w:val="00F071D1"/>
    <w:rsid w:val="00F07533"/>
    <w:rsid w:val="00F10629"/>
    <w:rsid w:val="00F15FA5"/>
    <w:rsid w:val="00F209B7"/>
    <w:rsid w:val="00F2376F"/>
    <w:rsid w:val="00F243D8"/>
    <w:rsid w:val="00F275C6"/>
    <w:rsid w:val="00F3014C"/>
    <w:rsid w:val="00F30828"/>
    <w:rsid w:val="00F313D6"/>
    <w:rsid w:val="00F35DE4"/>
    <w:rsid w:val="00F369A8"/>
    <w:rsid w:val="00F40F0C"/>
    <w:rsid w:val="00F4579A"/>
    <w:rsid w:val="00F4766C"/>
    <w:rsid w:val="00F5060E"/>
    <w:rsid w:val="00F507D1"/>
    <w:rsid w:val="00F519CE"/>
    <w:rsid w:val="00F51ADA"/>
    <w:rsid w:val="00F53E65"/>
    <w:rsid w:val="00F60203"/>
    <w:rsid w:val="00F6040E"/>
    <w:rsid w:val="00F607C5"/>
    <w:rsid w:val="00F60DEA"/>
    <w:rsid w:val="00F611DA"/>
    <w:rsid w:val="00F61332"/>
    <w:rsid w:val="00F6302A"/>
    <w:rsid w:val="00F63950"/>
    <w:rsid w:val="00F64C2B"/>
    <w:rsid w:val="00F651BE"/>
    <w:rsid w:val="00F67F53"/>
    <w:rsid w:val="00F703BE"/>
    <w:rsid w:val="00F714BE"/>
    <w:rsid w:val="00F71F69"/>
    <w:rsid w:val="00F72B72"/>
    <w:rsid w:val="00F74BB9"/>
    <w:rsid w:val="00F75255"/>
    <w:rsid w:val="00F75582"/>
    <w:rsid w:val="00F7689C"/>
    <w:rsid w:val="00F76EFA"/>
    <w:rsid w:val="00F80103"/>
    <w:rsid w:val="00F804BE"/>
    <w:rsid w:val="00F817CE"/>
    <w:rsid w:val="00F8456C"/>
    <w:rsid w:val="00F859D8"/>
    <w:rsid w:val="00F868F5"/>
    <w:rsid w:val="00F9056A"/>
    <w:rsid w:val="00F90F8D"/>
    <w:rsid w:val="00F92782"/>
    <w:rsid w:val="00F93311"/>
    <w:rsid w:val="00F93AA9"/>
    <w:rsid w:val="00F96985"/>
    <w:rsid w:val="00F97838"/>
    <w:rsid w:val="00F97B8A"/>
    <w:rsid w:val="00FA0ED6"/>
    <w:rsid w:val="00FA2BB3"/>
    <w:rsid w:val="00FA64E3"/>
    <w:rsid w:val="00FB4C80"/>
    <w:rsid w:val="00FB6A6A"/>
    <w:rsid w:val="00FC7429"/>
    <w:rsid w:val="00FD07F6"/>
    <w:rsid w:val="00FD1EC8"/>
    <w:rsid w:val="00FD47ED"/>
    <w:rsid w:val="00FD7253"/>
    <w:rsid w:val="00FD74DB"/>
    <w:rsid w:val="00FD7660"/>
    <w:rsid w:val="00FE0655"/>
    <w:rsid w:val="00FE06E5"/>
    <w:rsid w:val="00FE2365"/>
    <w:rsid w:val="00FE37D7"/>
    <w:rsid w:val="00FE4C7B"/>
    <w:rsid w:val="00FE7336"/>
    <w:rsid w:val="00FE787C"/>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6A3534BE-6EBF-45E1-A572-6E1DCA37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100</TotalTime>
  <Pages>10</Pages>
  <Words>4279</Words>
  <Characters>24396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28618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72</cp:revision>
  <cp:lastPrinted>2008-01-31T07:09:00Z</cp:lastPrinted>
  <dcterms:created xsi:type="dcterms:W3CDTF">2018-08-09T11:35:00Z</dcterms:created>
  <dcterms:modified xsi:type="dcterms:W3CDTF">2018-09-29T01:17:00Z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